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黑体" w:hAnsi="黑体" w:eastAsia="黑体" w:cs="微软雅黑"/>
          <w:kern w:val="0"/>
          <w:sz w:val="32"/>
          <w:szCs w:val="32"/>
          <w:shd w:val="clear" w:color="auto" w:fill="FFFFFF"/>
        </w:rPr>
      </w:pPr>
      <w:r>
        <w:rPr>
          <w:rFonts w:hint="eastAsia" w:ascii="黑体" w:hAnsi="黑体" w:eastAsia="黑体" w:cs="微软雅黑"/>
          <w:kern w:val="0"/>
          <w:sz w:val="32"/>
          <w:szCs w:val="32"/>
          <w:shd w:val="clear" w:color="auto" w:fill="FFFFFF"/>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微软雅黑" w:eastAsia="方正小标宋简体" w:cs="微软雅黑"/>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华文中宋" w:hAnsi="华文中宋" w:eastAsia="华文中宋" w:cs="华文中宋"/>
          <w:b/>
          <w:bCs/>
          <w:spacing w:val="-6"/>
          <w:kern w:val="0"/>
          <w:sz w:val="44"/>
          <w:szCs w:val="44"/>
          <w:shd w:val="clear" w:color="auto" w:fill="FFFFFF"/>
        </w:rPr>
      </w:pPr>
      <w:r>
        <w:rPr>
          <w:rFonts w:hint="eastAsia" w:ascii="华文中宋" w:hAnsi="华文中宋" w:eastAsia="华文中宋" w:cs="华文中宋"/>
          <w:b/>
          <w:bCs/>
          <w:spacing w:val="-6"/>
          <w:kern w:val="0"/>
          <w:sz w:val="44"/>
          <w:szCs w:val="44"/>
          <w:shd w:val="clear" w:color="auto" w:fill="FFFFFF"/>
        </w:rPr>
        <w:t>2021年“国创计划”</w:t>
      </w:r>
      <w:bookmarkStart w:id="0" w:name="_Hlk69305865"/>
      <w:r>
        <w:rPr>
          <w:rFonts w:hint="eastAsia" w:ascii="华文中宋" w:hAnsi="华文中宋" w:eastAsia="华文中宋" w:cs="华文中宋"/>
          <w:b/>
          <w:bCs/>
          <w:spacing w:val="-6"/>
          <w:kern w:val="0"/>
          <w:sz w:val="44"/>
          <w:szCs w:val="44"/>
          <w:shd w:val="clear" w:color="auto" w:fill="FFFFFF"/>
        </w:rPr>
        <w:t>重点支持领域项目申报指南</w:t>
      </w:r>
      <w:bookmarkEnd w:id="0"/>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重点支持项目由地方教育行政部门负责择优推荐，推荐数额不超过上一年度“国创计划”立项项目总数的2%。项目支持经费原则上不低于同类型其他“国创计划”项目支持经费的2倍。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bookmarkStart w:id="1" w:name="_GoBack"/>
      <w:bookmarkEnd w:id="1"/>
      <w:r>
        <w:rPr>
          <w:rFonts w:hint="eastAsia" w:ascii="仿宋_GB2312" w:hAnsi="仿宋_GB2312" w:eastAsia="仿宋_GB2312" w:cs="仿宋_GB2312"/>
          <w:b/>
          <w:bCs/>
          <w:sz w:val="32"/>
          <w:szCs w:val="32"/>
        </w:rPr>
        <w:t>二、重点领域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根据“十四五”规划纲要要求，以新工科、新医科、新农科、新文科推动高等教育高质量发展，重点支持大学生在以下领域开展创新创业活动：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泛终端芯片及操作系统应用开发。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（二）重大应用关键软件。</w:t>
      </w:r>
      <w:r>
        <w:rPr>
          <w:rFonts w:hint="eastAsia" w:ascii="仿宋_GB2312" w:hAnsi="仿宋_GB2312" w:eastAsia="仿宋_GB2312" w:cs="仿宋_GB2312"/>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云计算和大数据。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工智能。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人驾驶。围绕我国自主研发的关键车载芯片、智能驾驶操作系统、车载中间件构建功能软件算法，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新能源与储能技术。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生物技术与生物育种。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绿色环保与固废资源化。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第五代通信技术和新一代IP网络通信技术。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rPr>
        <w:t>（十）社会事业与文化传承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C3CF7"/>
    <w:rsid w:val="0E16702C"/>
    <w:rsid w:val="17540327"/>
    <w:rsid w:val="20EC3CF7"/>
    <w:rsid w:val="7FF4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2021-05-01T17:05:00Z</dcterms:created>
  <dc:creator>Administrator</dc:creator>
  <cp:lastModifiedBy>WPS_1553217667</cp:lastModifiedBy>
  <cp:lastPrinted>2021-05-10T08:56:16Z</cp:lastPrinted>
  <dcterms:modified xsi:type="dcterms:W3CDTF">2021-05-10T08:58:40Z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103F4255A5554A3384AA16321A21A04E</vt:lpwstr>
  </property>
</Properties>
</file>