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附件</w:t>
      </w:r>
      <w:r>
        <w:rPr>
          <w:rFonts w:ascii="黑体" w:hAnsi="黑体" w:eastAsia="黑体" w:cs="黑体"/>
          <w:color w:val="auto"/>
          <w:sz w:val="28"/>
          <w:szCs w:val="28"/>
          <w:highlight w:val="none"/>
        </w:rPr>
        <w:t>6</w:t>
      </w:r>
    </w:p>
    <w:p>
      <w:pPr>
        <w:spacing w:line="240" w:lineRule="atLeast"/>
        <w:jc w:val="center"/>
        <w:rPr>
          <w:rFonts w:hint="default" w:ascii="黑体" w:hAnsi="黑体" w:eastAsia="黑体"/>
          <w:b/>
          <w:bCs/>
          <w:color w:val="auto"/>
          <w:sz w:val="44"/>
          <w:szCs w:val="44"/>
          <w:highlight w:val="none"/>
          <w:lang w:val="en-US" w:eastAsia="zh-CN"/>
        </w:rPr>
      </w:pPr>
      <w:bookmarkStart w:id="0" w:name="_Hlk99574302"/>
      <w:r>
        <w:rPr>
          <w:rFonts w:hint="default" w:ascii="黑体" w:hAnsi="黑体" w:eastAsia="黑体"/>
          <w:b/>
          <w:bCs/>
          <w:color w:val="auto"/>
          <w:sz w:val="44"/>
          <w:szCs w:val="44"/>
          <w:highlight w:val="none"/>
          <w:lang w:val="en-US" w:eastAsia="zh-CN"/>
        </w:rPr>
        <w:t>2021年度</w:t>
      </w:r>
      <w:r>
        <w:rPr>
          <w:rFonts w:hint="eastAsia" w:ascii="黑体" w:hAnsi="黑体" w:eastAsia="黑体"/>
          <w:b/>
          <w:bCs/>
          <w:color w:val="auto"/>
          <w:sz w:val="44"/>
          <w:szCs w:val="44"/>
          <w:highlight w:val="none"/>
          <w:lang w:val="en-US" w:eastAsia="zh-CN"/>
        </w:rPr>
        <w:t>“</w:t>
      </w:r>
      <w:r>
        <w:rPr>
          <w:rFonts w:hint="default" w:ascii="黑体" w:hAnsi="黑体" w:eastAsia="黑体"/>
          <w:b/>
          <w:bCs/>
          <w:color w:val="auto"/>
          <w:sz w:val="44"/>
          <w:szCs w:val="44"/>
          <w:highlight w:val="none"/>
          <w:lang w:val="en-US" w:eastAsia="zh-CN"/>
        </w:rPr>
        <w:t>海南大学优秀团属融媒体平台</w:t>
      </w:r>
      <w:r>
        <w:rPr>
          <w:rFonts w:hint="eastAsia" w:ascii="黑体" w:hAnsi="黑体" w:eastAsia="黑体"/>
          <w:b/>
          <w:bCs/>
          <w:color w:val="auto"/>
          <w:sz w:val="44"/>
          <w:szCs w:val="44"/>
          <w:highlight w:val="none"/>
          <w:lang w:val="en-US" w:eastAsia="zh-CN"/>
        </w:rPr>
        <w:t>”</w:t>
      </w:r>
      <w:r>
        <w:rPr>
          <w:rFonts w:hint="default" w:ascii="黑体" w:hAnsi="黑体" w:eastAsia="黑体"/>
          <w:b/>
          <w:bCs/>
          <w:color w:val="auto"/>
          <w:sz w:val="44"/>
          <w:szCs w:val="44"/>
          <w:highlight w:val="none"/>
          <w:lang w:val="en-US" w:eastAsia="zh-CN"/>
        </w:rPr>
        <w:t>评选标准</w:t>
      </w:r>
      <w:bookmarkEnd w:id="0"/>
    </w:p>
    <w:tbl>
      <w:tblPr>
        <w:tblStyle w:val="2"/>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74"/>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1" w:type="dxa"/>
            <w:vAlign w:val="center"/>
          </w:tcPr>
          <w:p>
            <w:pPr>
              <w:jc w:val="center"/>
              <w:rPr>
                <w:rFonts w:hint="eastAsia" w:ascii="黑体" w:hAnsi="黑体" w:eastAsia="黑体" w:cs="黑体"/>
                <w:color w:val="auto"/>
                <w:sz w:val="20"/>
                <w:szCs w:val="20"/>
                <w:highlight w:val="none"/>
              </w:rPr>
            </w:pPr>
            <w:r>
              <w:rPr>
                <w:rFonts w:hint="eastAsia" w:ascii="黑体" w:hAnsi="黑体" w:eastAsia="黑体" w:cs="黑体"/>
                <w:color w:val="auto"/>
                <w:sz w:val="20"/>
                <w:szCs w:val="20"/>
                <w:highlight w:val="none"/>
              </w:rPr>
              <w:t>考核项目</w:t>
            </w:r>
          </w:p>
        </w:tc>
        <w:tc>
          <w:tcPr>
            <w:tcW w:w="3474" w:type="dxa"/>
            <w:vAlign w:val="center"/>
          </w:tcPr>
          <w:p>
            <w:pPr>
              <w:jc w:val="center"/>
              <w:rPr>
                <w:rFonts w:hint="eastAsia" w:ascii="黑体" w:hAnsi="黑体" w:eastAsia="黑体" w:cs="黑体"/>
                <w:color w:val="auto"/>
                <w:sz w:val="20"/>
                <w:szCs w:val="20"/>
                <w:highlight w:val="none"/>
              </w:rPr>
            </w:pPr>
            <w:r>
              <w:rPr>
                <w:rFonts w:hint="eastAsia" w:ascii="黑体" w:hAnsi="黑体" w:eastAsia="黑体" w:cs="黑体"/>
                <w:color w:val="auto"/>
                <w:sz w:val="20"/>
                <w:szCs w:val="20"/>
                <w:highlight w:val="none"/>
              </w:rPr>
              <w:t>主要内容</w:t>
            </w:r>
          </w:p>
        </w:tc>
        <w:tc>
          <w:tcPr>
            <w:tcW w:w="3844" w:type="dxa"/>
            <w:vAlign w:val="center"/>
          </w:tcPr>
          <w:p>
            <w:pPr>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考核详情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restart"/>
            <w:vAlign w:val="center"/>
          </w:tcPr>
          <w:p>
            <w:pPr>
              <w:jc w:val="center"/>
              <w:rPr>
                <w:rFonts w:hint="eastAsia" w:ascii="仿宋" w:hAnsi="仿宋" w:eastAsia="仿宋" w:cs="仿宋"/>
                <w:sz w:val="20"/>
                <w:szCs w:val="21"/>
                <w:highlight w:val="none"/>
              </w:rPr>
            </w:pPr>
            <w:r>
              <w:rPr>
                <w:rFonts w:hint="eastAsia" w:ascii="仿宋" w:hAnsi="仿宋" w:eastAsia="仿宋" w:cs="仿宋"/>
                <w:sz w:val="20"/>
                <w:szCs w:val="21"/>
                <w:highlight w:val="none"/>
              </w:rPr>
              <w:t>组织建设</w:t>
            </w:r>
          </w:p>
        </w:tc>
        <w:tc>
          <w:tcPr>
            <w:tcW w:w="3474" w:type="dxa"/>
            <w:vMerge w:val="restart"/>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简要介绍</w:t>
            </w:r>
            <w:r>
              <w:rPr>
                <w:rFonts w:hint="eastAsia" w:ascii="仿宋" w:hAnsi="仿宋" w:eastAsia="仿宋" w:cs="仿宋"/>
                <w:sz w:val="20"/>
                <w:szCs w:val="21"/>
                <w:highlight w:val="none"/>
                <w:lang w:val="en-US" w:eastAsia="zh-CN"/>
              </w:rPr>
              <w:t>融媒体平台</w:t>
            </w:r>
            <w:r>
              <w:rPr>
                <w:rFonts w:hint="eastAsia" w:ascii="仿宋" w:hAnsi="仿宋" w:eastAsia="仿宋" w:cs="仿宋"/>
                <w:sz w:val="20"/>
                <w:szCs w:val="21"/>
                <w:highlight w:val="none"/>
              </w:rPr>
              <w:t>基本情况，包括组织机构、规章制度、培养方案、内部建设等。</w:t>
            </w:r>
          </w:p>
        </w:tc>
        <w:tc>
          <w:tcPr>
            <w:tcW w:w="3844" w:type="dxa"/>
            <w:vAlign w:val="center"/>
          </w:tcPr>
          <w:p>
            <w:pPr>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rPr>
              <w:t>有明确的主管或指导单位，持续运营1年以上，在学校有备案登记并按时年审</w:t>
            </w:r>
            <w:r>
              <w:rPr>
                <w:rFonts w:hint="eastAsia" w:ascii="仿宋" w:hAnsi="仿宋" w:eastAsia="仿宋" w:cs="仿宋"/>
                <w:sz w:val="2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tcBorders>
              <w:top w:val="nil"/>
            </w:tcBorders>
            <w:vAlign w:val="center"/>
          </w:tcPr>
          <w:p>
            <w:pPr>
              <w:jc w:val="center"/>
              <w:rPr>
                <w:rFonts w:hint="eastAsia" w:ascii="仿宋" w:hAnsi="仿宋" w:eastAsia="仿宋" w:cs="仿宋"/>
                <w:sz w:val="20"/>
                <w:szCs w:val="21"/>
                <w:highlight w:val="none"/>
              </w:rPr>
            </w:pPr>
          </w:p>
        </w:tc>
        <w:tc>
          <w:tcPr>
            <w:tcW w:w="3474" w:type="dxa"/>
            <w:vMerge w:val="continue"/>
            <w:tcBorders>
              <w:top w:val="nil"/>
            </w:tcBorders>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有系统布局、分工明确的组织架构</w:t>
            </w:r>
            <w:r>
              <w:rPr>
                <w:rFonts w:hint="eastAsia" w:ascii="仿宋" w:hAnsi="仿宋" w:eastAsia="仿宋" w:cs="仿宋"/>
                <w:sz w:val="20"/>
                <w:szCs w:val="21"/>
                <w:highlight w:val="none"/>
                <w:lang w:eastAsia="zh-CN"/>
              </w:rPr>
              <w:t>，拥有融媒体运营团队</w:t>
            </w:r>
            <w:r>
              <w:rPr>
                <w:rFonts w:hint="eastAsia" w:ascii="仿宋" w:hAnsi="仿宋" w:eastAsia="仿宋" w:cs="仿宋"/>
                <w:sz w:val="20"/>
                <w:szCs w:val="21"/>
                <w:highlight w:val="none"/>
              </w:rPr>
              <w:t>。建立清晰公正的规章制度</w:t>
            </w:r>
            <w:r>
              <w:rPr>
                <w:rFonts w:hint="eastAsia" w:ascii="仿宋" w:hAnsi="仿宋" w:eastAsia="仿宋" w:cs="仿宋"/>
                <w:sz w:val="20"/>
                <w:szCs w:val="21"/>
                <w:highlight w:val="none"/>
                <w:lang w:val="en-US" w:eastAsia="zh-CN"/>
              </w:rPr>
              <w:t>和管理办法</w:t>
            </w:r>
            <w:r>
              <w:rPr>
                <w:rFonts w:hint="eastAsia" w:ascii="仿宋" w:hAnsi="仿宋" w:eastAsia="仿宋" w:cs="仿宋"/>
                <w:sz w:val="2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tcBorders>
              <w:top w:val="nil"/>
            </w:tcBorders>
            <w:vAlign w:val="center"/>
          </w:tcPr>
          <w:p>
            <w:pPr>
              <w:jc w:val="center"/>
              <w:rPr>
                <w:rFonts w:hint="eastAsia" w:ascii="仿宋" w:hAnsi="仿宋" w:eastAsia="仿宋" w:cs="仿宋"/>
                <w:sz w:val="20"/>
                <w:szCs w:val="21"/>
                <w:highlight w:val="none"/>
              </w:rPr>
            </w:pPr>
          </w:p>
        </w:tc>
        <w:tc>
          <w:tcPr>
            <w:tcW w:w="3474" w:type="dxa"/>
            <w:vMerge w:val="continue"/>
            <w:tcBorders>
              <w:top w:val="nil"/>
            </w:tcBorders>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对组织成员有系统、全面的技能培训。有高效、合理的成员流动、晋升机制。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tcBorders>
              <w:top w:val="nil"/>
            </w:tcBorders>
            <w:vAlign w:val="center"/>
          </w:tcPr>
          <w:p>
            <w:pPr>
              <w:jc w:val="center"/>
              <w:rPr>
                <w:rFonts w:hint="eastAsia" w:ascii="仿宋" w:hAnsi="仿宋" w:eastAsia="仿宋" w:cs="仿宋"/>
                <w:sz w:val="20"/>
                <w:szCs w:val="21"/>
                <w:highlight w:val="none"/>
              </w:rPr>
            </w:pPr>
          </w:p>
        </w:tc>
        <w:tc>
          <w:tcPr>
            <w:tcW w:w="3474" w:type="dxa"/>
            <w:vMerge w:val="continue"/>
            <w:tcBorders>
              <w:top w:val="nil"/>
            </w:tcBorders>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积极配合校团委相关工作安排。有其他值得推广的优秀组织建设模式。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restart"/>
            <w:vAlign w:val="center"/>
          </w:tcPr>
          <w:p>
            <w:pPr>
              <w:jc w:val="center"/>
              <w:rPr>
                <w:rFonts w:hint="eastAsia" w:ascii="仿宋" w:hAnsi="仿宋" w:eastAsia="仿宋" w:cs="仿宋"/>
                <w:sz w:val="20"/>
                <w:szCs w:val="21"/>
                <w:highlight w:val="none"/>
              </w:rPr>
            </w:pPr>
            <w:r>
              <w:rPr>
                <w:rFonts w:hint="eastAsia" w:ascii="仿宋" w:hAnsi="仿宋" w:eastAsia="仿宋" w:cs="仿宋"/>
                <w:sz w:val="20"/>
                <w:szCs w:val="21"/>
                <w:highlight w:val="none"/>
              </w:rPr>
              <w:t>宣传工作</w:t>
            </w:r>
          </w:p>
        </w:tc>
        <w:tc>
          <w:tcPr>
            <w:tcW w:w="3474" w:type="dxa"/>
            <w:vMerge w:val="restart"/>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简述</w:t>
            </w:r>
            <w:r>
              <w:rPr>
                <w:rFonts w:hint="eastAsia" w:ascii="仿宋" w:hAnsi="仿宋" w:eastAsia="仿宋" w:cs="仿宋"/>
                <w:sz w:val="20"/>
                <w:szCs w:val="21"/>
                <w:highlight w:val="none"/>
                <w:lang w:val="en-US" w:eastAsia="zh-CN"/>
              </w:rPr>
              <w:t>平台</w:t>
            </w:r>
            <w:r>
              <w:rPr>
                <w:rFonts w:hint="eastAsia" w:ascii="仿宋" w:hAnsi="仿宋" w:eastAsia="仿宋" w:cs="仿宋"/>
                <w:sz w:val="20"/>
                <w:szCs w:val="21"/>
                <w:highlight w:val="none"/>
              </w:rPr>
              <w:t>日常宣传工作，包括原创内容生产情况、媒体平台运营情况、</w:t>
            </w:r>
            <w:r>
              <w:rPr>
                <w:rFonts w:hint="eastAsia" w:ascii="仿宋" w:hAnsi="仿宋" w:eastAsia="仿宋" w:cs="仿宋"/>
                <w:sz w:val="20"/>
                <w:szCs w:val="21"/>
                <w:highlight w:val="none"/>
                <w:lang w:eastAsia="zh-CN"/>
              </w:rPr>
              <w:t>融媒体</w:t>
            </w:r>
            <w:r>
              <w:rPr>
                <w:rFonts w:hint="eastAsia" w:ascii="仿宋" w:hAnsi="仿宋" w:eastAsia="仿宋" w:cs="仿宋"/>
                <w:sz w:val="20"/>
                <w:szCs w:val="21"/>
                <w:highlight w:val="none"/>
              </w:rPr>
              <w:t>活动策划等。</w:t>
            </w:r>
          </w:p>
        </w:tc>
        <w:tc>
          <w:tcPr>
            <w:tcW w:w="3844" w:type="dxa"/>
            <w:vAlign w:val="center"/>
          </w:tcPr>
          <w:p>
            <w:pPr>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rPr>
              <w:t>舆论阵地布局完整，坚决维护以习近平同志为核心的党中央权威和集中统一领导，在思想上政治上行动上同以习近平同志为核心的党中央保持高度一致</w:t>
            </w:r>
            <w:r>
              <w:rPr>
                <w:rFonts w:hint="eastAsia" w:ascii="仿宋" w:hAnsi="仿宋" w:eastAsia="仿宋" w:cs="仿宋"/>
                <w:sz w:val="2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rPr>
              <w:t>积极配合学校及校团委舆论引导工作，按要求参与学校融媒体矩阵联动工作</w:t>
            </w:r>
            <w:r>
              <w:rPr>
                <w:rFonts w:hint="eastAsia" w:ascii="仿宋" w:hAnsi="仿宋" w:eastAsia="仿宋" w:cs="仿宋"/>
                <w:sz w:val="2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val="en-US" w:eastAsia="zh-CN"/>
              </w:rPr>
            </w:pPr>
            <w:r>
              <w:rPr>
                <w:rFonts w:hint="eastAsia" w:ascii="仿宋" w:hAnsi="仿宋" w:eastAsia="仿宋" w:cs="仿宋"/>
                <w:sz w:val="20"/>
                <w:szCs w:val="21"/>
                <w:highlight w:val="none"/>
              </w:rPr>
              <w:t>具备内容原创能力，原创内容生产作品质量、</w:t>
            </w:r>
            <w:r>
              <w:rPr>
                <w:rFonts w:hint="eastAsia" w:ascii="仿宋" w:hAnsi="仿宋" w:eastAsia="仿宋" w:cs="仿宋"/>
                <w:sz w:val="20"/>
                <w:szCs w:val="21"/>
                <w:highlight w:val="none"/>
                <w:lang w:val="en-US" w:eastAsia="zh-CN"/>
              </w:rPr>
              <w:t>发布</w:t>
            </w:r>
            <w:r>
              <w:rPr>
                <w:rFonts w:hint="eastAsia" w:ascii="仿宋" w:hAnsi="仿宋" w:eastAsia="仿宋" w:cs="仿宋"/>
                <w:sz w:val="20"/>
                <w:szCs w:val="21"/>
                <w:highlight w:val="none"/>
              </w:rPr>
              <w:t>频次、影响力等</w:t>
            </w:r>
            <w:r>
              <w:rPr>
                <w:rFonts w:hint="eastAsia" w:ascii="仿宋" w:hAnsi="仿宋" w:eastAsia="仿宋" w:cs="仿宋"/>
                <w:sz w:val="20"/>
                <w:szCs w:val="21"/>
                <w:highlight w:val="none"/>
                <w:lang w:val="en-US" w:eastAsia="zh-CN"/>
              </w:rPr>
              <w:t>方面优异，拥有</w:t>
            </w:r>
            <w:bookmarkStart w:id="1" w:name="_GoBack"/>
            <w:bookmarkEnd w:id="1"/>
            <w:r>
              <w:rPr>
                <w:rFonts w:hint="eastAsia" w:ascii="仿宋" w:hAnsi="仿宋" w:eastAsia="仿宋" w:cs="仿宋"/>
                <w:sz w:val="20"/>
                <w:szCs w:val="21"/>
                <w:highlight w:val="none"/>
                <w:lang w:val="en-US" w:eastAsia="zh-CN"/>
              </w:rPr>
              <w:t>较高的转发量及浏览量。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微博、微信等</w:t>
            </w:r>
            <w:r>
              <w:rPr>
                <w:rFonts w:hint="eastAsia" w:ascii="仿宋" w:hAnsi="仿宋" w:eastAsia="仿宋" w:cs="仿宋"/>
                <w:sz w:val="20"/>
                <w:szCs w:val="21"/>
                <w:highlight w:val="none"/>
                <w:lang w:eastAsia="zh-CN"/>
              </w:rPr>
              <w:t>融媒体</w:t>
            </w:r>
            <w:r>
              <w:rPr>
                <w:rFonts w:hint="eastAsia" w:ascii="仿宋" w:hAnsi="仿宋" w:eastAsia="仿宋" w:cs="仿宋"/>
                <w:sz w:val="20"/>
                <w:szCs w:val="21"/>
                <w:highlight w:val="none"/>
              </w:rPr>
              <w:t>平台运营模式创新，阅读量、粉丝存量有稳定增长。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rPr>
              <w:t>能够定时更新内容，栏目形式多样、话题新颖、互动性强，紧扣“</w:t>
            </w:r>
            <w:r>
              <w:rPr>
                <w:rFonts w:hint="eastAsia" w:ascii="仿宋" w:hAnsi="仿宋" w:eastAsia="仿宋" w:cs="仿宋"/>
                <w:sz w:val="20"/>
                <w:szCs w:val="21"/>
                <w:highlight w:val="none"/>
                <w:lang w:val="en-US" w:eastAsia="zh-CN"/>
              </w:rPr>
              <w:t>共青</w:t>
            </w:r>
            <w:r>
              <w:rPr>
                <w:rFonts w:hint="eastAsia" w:ascii="仿宋" w:hAnsi="仿宋" w:eastAsia="仿宋" w:cs="仿宋"/>
                <w:sz w:val="20"/>
                <w:szCs w:val="21"/>
                <w:highlight w:val="none"/>
              </w:rPr>
              <w:t>团”和“青年”两个基本点</w:t>
            </w:r>
            <w:r>
              <w:rPr>
                <w:rFonts w:hint="eastAsia" w:ascii="仿宋" w:hAnsi="仿宋" w:eastAsia="仿宋" w:cs="仿宋"/>
                <w:sz w:val="2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除微博、微信、QQ、官网以外，对其他</w:t>
            </w:r>
            <w:r>
              <w:rPr>
                <w:rFonts w:hint="eastAsia" w:ascii="仿宋" w:hAnsi="仿宋" w:eastAsia="仿宋" w:cs="仿宋"/>
                <w:sz w:val="20"/>
                <w:szCs w:val="21"/>
                <w:highlight w:val="none"/>
                <w:lang w:eastAsia="zh-CN"/>
              </w:rPr>
              <w:t>媒体</w:t>
            </w:r>
            <w:r>
              <w:rPr>
                <w:rFonts w:hint="eastAsia" w:ascii="仿宋" w:hAnsi="仿宋" w:eastAsia="仿宋" w:cs="仿宋"/>
                <w:sz w:val="20"/>
                <w:szCs w:val="21"/>
                <w:highlight w:val="none"/>
              </w:rPr>
              <w:t>平台运营探索。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rPr>
              <w:t>无不当报道、责任差错、抄袭行为、导向错误、负面舆论等情形发生，无仿冒账号、“僵尸账号”等情形出现</w:t>
            </w:r>
            <w:r>
              <w:rPr>
                <w:rFonts w:hint="eastAsia" w:ascii="仿宋" w:hAnsi="仿宋" w:eastAsia="仿宋" w:cs="仿宋"/>
                <w:sz w:val="2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jc w:val="cente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eastAsia="zh-CN"/>
              </w:rPr>
            </w:pPr>
            <w:r>
              <w:rPr>
                <w:rFonts w:hint="eastAsia" w:ascii="仿宋" w:hAnsi="仿宋" w:eastAsia="仿宋" w:cs="仿宋"/>
                <w:sz w:val="20"/>
                <w:szCs w:val="21"/>
                <w:highlight w:val="none"/>
                <w:lang w:val="en-US" w:eastAsia="zh-CN"/>
              </w:rPr>
              <w:t>发布内容被</w:t>
            </w:r>
            <w:r>
              <w:rPr>
                <w:rFonts w:hint="eastAsia" w:ascii="仿宋" w:hAnsi="仿宋" w:eastAsia="仿宋" w:cs="仿宋"/>
                <w:sz w:val="20"/>
                <w:szCs w:val="21"/>
                <w:highlight w:val="none"/>
                <w:lang w:eastAsia="zh-CN"/>
              </w:rPr>
              <w:t>权威媒体和官方媒体引用或转发。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restart"/>
            <w:vAlign w:val="center"/>
          </w:tcPr>
          <w:p>
            <w:pPr>
              <w:jc w:val="center"/>
              <w:rPr>
                <w:rFonts w:hint="eastAsia" w:ascii="仿宋" w:hAnsi="仿宋" w:eastAsia="仿宋" w:cs="仿宋"/>
                <w:sz w:val="20"/>
                <w:szCs w:val="21"/>
                <w:highlight w:val="none"/>
              </w:rPr>
            </w:pPr>
            <w:r>
              <w:rPr>
                <w:rFonts w:hint="eastAsia" w:ascii="仿宋" w:hAnsi="仿宋" w:eastAsia="仿宋" w:cs="仿宋"/>
                <w:sz w:val="20"/>
                <w:szCs w:val="21"/>
                <w:highlight w:val="none"/>
              </w:rPr>
              <w:t>品牌活动</w:t>
            </w:r>
          </w:p>
        </w:tc>
        <w:tc>
          <w:tcPr>
            <w:tcW w:w="3474" w:type="dxa"/>
            <w:vMerge w:val="restart"/>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rPr>
              <w:t>积极开展各项品牌校园文化活动，并在校内外具有一定影响力。</w:t>
            </w:r>
          </w:p>
        </w:tc>
        <w:tc>
          <w:tcPr>
            <w:tcW w:w="3844" w:type="dxa"/>
            <w:vAlign w:val="center"/>
          </w:tcPr>
          <w:p>
            <w:pPr>
              <w:rPr>
                <w:rFonts w:hint="eastAsia" w:ascii="仿宋" w:hAnsi="仿宋" w:eastAsia="仿宋" w:cs="仿宋"/>
                <w:sz w:val="20"/>
                <w:szCs w:val="21"/>
                <w:highlight w:val="none"/>
              </w:rPr>
            </w:pPr>
            <w:r>
              <w:rPr>
                <w:rFonts w:hint="eastAsia" w:ascii="仿宋" w:hAnsi="仿宋" w:eastAsia="仿宋" w:cs="仿宋"/>
                <w:sz w:val="20"/>
                <w:szCs w:val="21"/>
                <w:highlight w:val="none"/>
                <w:lang w:val="en-US" w:eastAsia="zh-CN"/>
              </w:rPr>
              <w:t>定期进行</w:t>
            </w:r>
            <w:r>
              <w:rPr>
                <w:rFonts w:hint="eastAsia" w:ascii="仿宋" w:hAnsi="仿宋" w:eastAsia="仿宋" w:cs="仿宋"/>
                <w:sz w:val="20"/>
                <w:szCs w:val="21"/>
                <w:highlight w:val="none"/>
                <w:lang w:eastAsia="zh-CN"/>
              </w:rPr>
              <w:t>融媒体</w:t>
            </w:r>
            <w:r>
              <w:rPr>
                <w:rFonts w:hint="eastAsia" w:ascii="仿宋" w:hAnsi="仿宋" w:eastAsia="仿宋" w:cs="仿宋"/>
                <w:sz w:val="20"/>
                <w:szCs w:val="21"/>
                <w:highlight w:val="none"/>
              </w:rPr>
              <w:t>活动策划、联动、实施。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val="zh-CN" w:eastAsia="zh-CN"/>
              </w:rPr>
            </w:pPr>
            <w:r>
              <w:rPr>
                <w:rFonts w:hint="eastAsia" w:ascii="仿宋" w:hAnsi="仿宋" w:eastAsia="仿宋" w:cs="仿宋"/>
                <w:sz w:val="20"/>
                <w:szCs w:val="21"/>
                <w:highlight w:val="none"/>
              </w:rPr>
              <w:t>积极开展</w:t>
            </w:r>
            <w:r>
              <w:rPr>
                <w:rFonts w:hint="eastAsia" w:ascii="仿宋" w:hAnsi="仿宋" w:eastAsia="仿宋" w:cs="仿宋"/>
                <w:sz w:val="20"/>
                <w:szCs w:val="21"/>
                <w:highlight w:val="none"/>
                <w:lang w:val="en-US" w:eastAsia="zh-CN"/>
              </w:rPr>
              <w:t>及配合宣传</w:t>
            </w:r>
            <w:r>
              <w:rPr>
                <w:rFonts w:hint="eastAsia" w:ascii="仿宋" w:hAnsi="仿宋" w:eastAsia="仿宋" w:cs="仿宋"/>
                <w:sz w:val="20"/>
                <w:szCs w:val="21"/>
                <w:highlight w:val="none"/>
              </w:rPr>
              <w:t>各类精品校园活动，丰富</w:t>
            </w:r>
            <w:r>
              <w:rPr>
                <w:rFonts w:hint="eastAsia" w:ascii="仿宋" w:hAnsi="仿宋" w:eastAsia="仿宋" w:cs="仿宋"/>
                <w:sz w:val="20"/>
                <w:szCs w:val="21"/>
                <w:highlight w:val="none"/>
                <w:lang w:val="en-US" w:eastAsia="zh-CN"/>
              </w:rPr>
              <w:t>学生</w:t>
            </w:r>
            <w:r>
              <w:rPr>
                <w:rFonts w:hint="eastAsia" w:ascii="仿宋" w:hAnsi="仿宋" w:eastAsia="仿宋" w:cs="仿宋"/>
                <w:sz w:val="20"/>
                <w:szCs w:val="21"/>
                <w:highlight w:val="none"/>
              </w:rPr>
              <w:t>校园生活、营造良好校园舆论氛围。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1" w:type="dxa"/>
            <w:vMerge w:val="continue"/>
            <w:vAlign w:val="center"/>
          </w:tcPr>
          <w:p>
            <w:pPr>
              <w:rPr>
                <w:rFonts w:hint="eastAsia" w:ascii="仿宋" w:hAnsi="仿宋" w:eastAsia="仿宋" w:cs="仿宋"/>
                <w:sz w:val="20"/>
                <w:szCs w:val="21"/>
                <w:highlight w:val="none"/>
              </w:rPr>
            </w:pPr>
          </w:p>
        </w:tc>
        <w:tc>
          <w:tcPr>
            <w:tcW w:w="3474" w:type="dxa"/>
            <w:vMerge w:val="continue"/>
            <w:vAlign w:val="center"/>
          </w:tcPr>
          <w:p>
            <w:pPr>
              <w:rPr>
                <w:rFonts w:hint="eastAsia" w:ascii="仿宋" w:hAnsi="仿宋" w:eastAsia="仿宋" w:cs="仿宋"/>
                <w:sz w:val="20"/>
                <w:szCs w:val="21"/>
                <w:highlight w:val="none"/>
              </w:rPr>
            </w:pPr>
          </w:p>
        </w:tc>
        <w:tc>
          <w:tcPr>
            <w:tcW w:w="3844" w:type="dxa"/>
            <w:vAlign w:val="center"/>
          </w:tcPr>
          <w:p>
            <w:pPr>
              <w:rPr>
                <w:rFonts w:hint="eastAsia" w:ascii="仿宋" w:hAnsi="仿宋" w:eastAsia="仿宋" w:cs="仿宋"/>
                <w:sz w:val="20"/>
                <w:szCs w:val="21"/>
                <w:highlight w:val="none"/>
                <w:lang w:val="zh-CN" w:eastAsia="zh-CN"/>
              </w:rPr>
            </w:pPr>
            <w:r>
              <w:rPr>
                <w:rFonts w:hint="eastAsia" w:ascii="仿宋" w:hAnsi="仿宋" w:eastAsia="仿宋" w:cs="仿宋"/>
                <w:sz w:val="20"/>
                <w:szCs w:val="21"/>
                <w:highlight w:val="none"/>
              </w:rPr>
              <w:t>品牌活动在校内外具有一定影响力及公信力。并受到社会媒体报道、传播。</w:t>
            </w:r>
            <w:r>
              <w:rPr>
                <w:rFonts w:hint="eastAsia" w:ascii="仿宋" w:hAnsi="仿宋" w:eastAsia="仿宋" w:cs="仿宋"/>
                <w:sz w:val="20"/>
                <w:szCs w:val="21"/>
                <w:highlight w:val="none"/>
                <w:lang w:val="en-US" w:eastAsia="zh-CN"/>
              </w:rPr>
              <w:t>在校内校外有良好的形象和影响力，具有思想引领和导向性作用。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078D5"/>
    <w:rsid w:val="0AD078D5"/>
    <w:rsid w:val="6AAE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2022-04-01T04:41:00Z</dcterms:created>
  <dc:creator>张明明</dc:creator>
  <cp:lastModifiedBy>张明明</cp:lastModifiedBy>
  <dcterms:modified xsi:type="dcterms:W3CDTF">2022-04-01T04:47:45Z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147D2CF9E5C44215AE3EFAB5D20F6D27</vt:lpwstr>
  </property>
</Properties>
</file>