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bidi w:val="0"/>
        <w:adjustRightInd/>
        <w:snapToGrid/>
        <w:spacing w:line="560" w:lineRule="exact"/>
        <w:textAlignment w:val="auto"/>
        <w:rPr>
          <w:rFonts w:hint="eastAsia" w:ascii="仿宋_GB2312" w:hAnsi="仿宋_GB2312" w:eastAsia="仿宋_GB2312" w:cs="仿宋_GB2312"/>
          <w:b/>
          <w:bCs/>
          <w:i w:val="0"/>
          <w:caps w:val="0"/>
          <w:color w:val="000000"/>
          <w:spacing w:val="0"/>
          <w:sz w:val="32"/>
          <w:szCs w:val="32"/>
          <w:shd w:val="clear" w:fill="FFFFFF"/>
          <w:vertAlign w:val="baseline"/>
        </w:rPr>
      </w:pPr>
      <w:bookmarkStart w:id="0" w:name="bookmark45"/>
      <w:bookmarkStart w:id="1" w:name="bookmark43"/>
      <w:bookmarkStart w:id="2" w:name="bookmark44"/>
      <w:r>
        <w:rPr>
          <w:rFonts w:hint="eastAsia" w:ascii="仿宋_GB2312" w:hAnsi="仿宋_GB2312" w:eastAsia="仿宋_GB2312" w:cs="仿宋_GB2312"/>
          <w:b/>
          <w:bCs/>
          <w:sz w:val="32"/>
          <w:szCs w:val="32"/>
        </w:rPr>
        <w:t>附件</w:t>
      </w:r>
      <w:r>
        <w:rPr>
          <w:rFonts w:hint="default" w:ascii="仿宋_GB2312" w:hAnsi="仿宋_GB2312" w:eastAsia="仿宋_GB2312" w:cs="仿宋_GB2312"/>
          <w:b/>
          <w:bCs/>
          <w:sz w:val="32"/>
          <w:szCs w:val="32"/>
        </w:rPr>
        <w:t>4</w:t>
      </w:r>
    </w:p>
    <w:p>
      <w:pPr>
        <w:pStyle w:val="4"/>
        <w:keepNext/>
        <w:keepLines/>
        <w:pageBreakBefore w:val="0"/>
        <w:widowControl w:val="0"/>
        <w:shd w:val="clear" w:color="auto" w:fill="auto"/>
        <w:kinsoku/>
        <w:wordWrap/>
        <w:overflowPunct/>
        <w:topLinePunct w:val="0"/>
        <w:autoSpaceDE/>
        <w:bidi w:val="0"/>
        <w:adjustRightInd/>
        <w:snapToGrid/>
        <w:spacing w:before="0" w:after="480" w:line="560" w:lineRule="exact"/>
        <w:ind w:left="0" w:right="0" w:firstLine="0"/>
        <w:jc w:val="center"/>
        <w:textAlignment w:val="auto"/>
        <w:rPr>
          <w:rFonts w:hint="eastAsia" w:ascii="华文中宋" w:hAnsi="华文中宋" w:eastAsia="华文中宋" w:cs="华文中宋"/>
          <w:b/>
          <w:bCs/>
          <w:sz w:val="44"/>
          <w:szCs w:val="44"/>
        </w:rPr>
      </w:pPr>
      <w:bookmarkStart w:id="36" w:name="_GoBack"/>
      <w:r>
        <w:rPr>
          <w:rFonts w:hint="eastAsia" w:ascii="华文中宋" w:hAnsi="华文中宋" w:eastAsia="华文中宋" w:cs="华文中宋"/>
          <w:b/>
          <w:bCs/>
          <w:color w:val="000000"/>
          <w:spacing w:val="0"/>
          <w:w w:val="100"/>
          <w:position w:val="0"/>
          <w:sz w:val="44"/>
          <w:szCs w:val="44"/>
        </w:rPr>
        <w:t>第七届中国国际</w:t>
      </w:r>
      <w:r>
        <w:rPr>
          <w:rFonts w:hint="eastAsia" w:ascii="华文中宋" w:hAnsi="华文中宋" w:eastAsia="华文中宋" w:cs="华文中宋"/>
          <w:b/>
          <w:bCs/>
          <w:color w:val="000000"/>
          <w:spacing w:val="0"/>
          <w:w w:val="100"/>
          <w:position w:val="0"/>
          <w:sz w:val="44"/>
          <w:szCs w:val="44"/>
          <w:lang w:val="zh-CN" w:eastAsia="zh-CN" w:bidi="zh-CN"/>
        </w:rPr>
        <w:t>“互</w:t>
      </w:r>
      <w:r>
        <w:rPr>
          <w:rFonts w:hint="eastAsia" w:ascii="华文中宋" w:hAnsi="华文中宋" w:eastAsia="华文中宋" w:cs="华文中宋"/>
          <w:b/>
          <w:bCs/>
          <w:color w:val="000000"/>
          <w:spacing w:val="0"/>
          <w:w w:val="100"/>
          <w:position w:val="0"/>
          <w:sz w:val="44"/>
          <w:szCs w:val="44"/>
        </w:rPr>
        <w:t>联网+”大学生</w:t>
      </w:r>
      <w:r>
        <w:rPr>
          <w:rFonts w:hint="eastAsia" w:ascii="华文中宋" w:hAnsi="华文中宋" w:eastAsia="华文中宋" w:cs="华文中宋"/>
          <w:b/>
          <w:bCs/>
          <w:color w:val="000000"/>
          <w:spacing w:val="0"/>
          <w:w w:val="100"/>
          <w:position w:val="0"/>
          <w:sz w:val="44"/>
          <w:szCs w:val="44"/>
        </w:rPr>
        <w:br w:type="textWrapping"/>
      </w:r>
      <w:r>
        <w:rPr>
          <w:rFonts w:hint="eastAsia" w:ascii="华文中宋" w:hAnsi="华文中宋" w:eastAsia="华文中宋" w:cs="华文中宋"/>
          <w:b/>
          <w:bCs/>
          <w:color w:val="000000"/>
          <w:spacing w:val="0"/>
          <w:w w:val="100"/>
          <w:position w:val="0"/>
          <w:sz w:val="44"/>
          <w:szCs w:val="44"/>
        </w:rPr>
        <w:t>创新创业大赛高教主赛道方案</w:t>
      </w:r>
      <w:bookmarkEnd w:id="0"/>
      <w:bookmarkEnd w:id="1"/>
      <w:bookmarkEnd w:id="2"/>
    </w:p>
    <w:bookmarkEnd w:id="36"/>
    <w:p>
      <w:pPr>
        <w:pStyle w:val="5"/>
        <w:keepNext w:val="0"/>
        <w:keepLines w:val="0"/>
        <w:pageBreakBefore w:val="0"/>
        <w:widowControl w:val="0"/>
        <w:shd w:val="clear" w:color="auto" w:fill="auto"/>
        <w:kinsoku/>
        <w:wordWrap/>
        <w:overflowPunct/>
        <w:topLinePunct w:val="0"/>
        <w:autoSpaceDE/>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第七届中国国际“互联网+”大学生创新创业大赛设高教主赛道（含国际参赛项目）。具体实施方案如下。</w:t>
      </w:r>
    </w:p>
    <w:p>
      <w:pPr>
        <w:pStyle w:val="5"/>
        <w:keepNext w:val="0"/>
        <w:keepLines w:val="0"/>
        <w:pageBreakBefore w:val="0"/>
        <w:widowControl w:val="0"/>
        <w:shd w:val="clear" w:color="auto" w:fill="auto"/>
        <w:tabs>
          <w:tab w:val="left" w:pos="1362"/>
        </w:tabs>
        <w:kinsoku/>
        <w:wordWrap/>
        <w:overflowPunct/>
        <w:topLinePunct w:val="0"/>
        <w:autoSpaceDE/>
        <w:bidi w:val="0"/>
        <w:adjustRightInd/>
        <w:snapToGrid/>
        <w:spacing w:before="0" w:after="0" w:line="560" w:lineRule="exact"/>
        <w:ind w:left="0" w:right="0" w:firstLine="643" w:firstLineChars="200"/>
        <w:jc w:val="both"/>
        <w:textAlignment w:val="auto"/>
        <w:rPr>
          <w:rFonts w:hint="eastAsia" w:ascii="仿宋_GB2312" w:hAnsi="仿宋_GB2312" w:eastAsia="仿宋_GB2312" w:cs="仿宋_GB2312"/>
          <w:b/>
          <w:bCs/>
          <w:sz w:val="32"/>
          <w:szCs w:val="32"/>
        </w:rPr>
      </w:pPr>
      <w:bookmarkStart w:id="3" w:name="bookmark46"/>
      <w:r>
        <w:rPr>
          <w:rFonts w:hint="eastAsia" w:ascii="仿宋_GB2312" w:hAnsi="仿宋_GB2312" w:eastAsia="仿宋_GB2312" w:cs="仿宋_GB2312"/>
          <w:b/>
          <w:bCs/>
          <w:color w:val="000000"/>
          <w:spacing w:val="0"/>
          <w:w w:val="100"/>
          <w:position w:val="0"/>
          <w:sz w:val="32"/>
          <w:szCs w:val="32"/>
        </w:rPr>
        <w:t>一</w:t>
      </w:r>
      <w:bookmarkEnd w:id="3"/>
      <w:r>
        <w:rPr>
          <w:rFonts w:hint="eastAsia" w:ascii="仿宋_GB2312" w:hAnsi="仿宋_GB2312" w:eastAsia="仿宋_GB2312" w:cs="仿宋_GB2312"/>
          <w:b/>
          <w:bCs/>
          <w:color w:val="000000"/>
          <w:spacing w:val="0"/>
          <w:w w:val="100"/>
          <w:position w:val="0"/>
          <w:sz w:val="32"/>
          <w:szCs w:val="32"/>
        </w:rPr>
        <w:t>、参赛项目类型</w:t>
      </w:r>
    </w:p>
    <w:p>
      <w:pPr>
        <w:pStyle w:val="5"/>
        <w:keepNext w:val="0"/>
        <w:keepLines w:val="0"/>
        <w:pageBreakBefore w:val="0"/>
        <w:widowControl w:val="0"/>
        <w:numPr>
          <w:ilvl w:val="0"/>
          <w:numId w:val="0"/>
        </w:numPr>
        <w:shd w:val="clear" w:color="auto" w:fill="auto"/>
        <w:tabs>
          <w:tab w:val="left" w:pos="1240"/>
        </w:tabs>
        <w:kinsoku/>
        <w:wordWrap/>
        <w:overflowPunct/>
        <w:topLinePunct w:val="0"/>
        <w:autoSpaceDE/>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4" w:name="bookmark47"/>
      <w:bookmarkEnd w:id="4"/>
      <w:r>
        <w:rPr>
          <w:rFonts w:hint="eastAsia" w:ascii="仿宋_GB2312" w:hAnsi="仿宋_GB2312" w:eastAsia="仿宋_GB2312" w:cs="仿宋_GB2312"/>
          <w:color w:val="000000"/>
          <w:spacing w:val="0"/>
          <w:w w:val="100"/>
          <w:position w:val="0"/>
          <w:sz w:val="32"/>
          <w:szCs w:val="32"/>
          <w:lang w:val="en-US" w:eastAsia="zh-CN" w:bidi="zh-CN"/>
        </w:rPr>
        <w:t>1.</w:t>
      </w:r>
      <w:r>
        <w:rPr>
          <w:rFonts w:hint="eastAsia" w:ascii="仿宋_GB2312" w:hAnsi="仿宋_GB2312" w:eastAsia="仿宋_GB2312" w:cs="仿宋_GB2312"/>
          <w:color w:val="000000"/>
          <w:spacing w:val="0"/>
          <w:w w:val="100"/>
          <w:position w:val="0"/>
          <w:sz w:val="32"/>
          <w:szCs w:val="32"/>
          <w:lang w:val="zh-CN" w:eastAsia="zh-CN" w:bidi="zh-CN"/>
        </w:rPr>
        <w:t>“互</w:t>
      </w:r>
      <w:r>
        <w:rPr>
          <w:rFonts w:hint="eastAsia" w:ascii="仿宋_GB2312" w:hAnsi="仿宋_GB2312" w:eastAsia="仿宋_GB2312" w:cs="仿宋_GB2312"/>
          <w:color w:val="000000"/>
          <w:spacing w:val="0"/>
          <w:w w:val="100"/>
          <w:position w:val="0"/>
          <w:sz w:val="32"/>
          <w:szCs w:val="32"/>
        </w:rPr>
        <w:t>联网+”现代农业，包括农林牧渔等；</w:t>
      </w:r>
    </w:p>
    <w:p>
      <w:pPr>
        <w:pStyle w:val="5"/>
        <w:keepNext w:val="0"/>
        <w:keepLines w:val="0"/>
        <w:pageBreakBefore w:val="0"/>
        <w:widowControl w:val="0"/>
        <w:numPr>
          <w:ilvl w:val="0"/>
          <w:numId w:val="0"/>
        </w:numPr>
        <w:shd w:val="clear" w:color="auto" w:fill="auto"/>
        <w:tabs>
          <w:tab w:val="left" w:pos="1049"/>
        </w:tabs>
        <w:kinsoku/>
        <w:wordWrap/>
        <w:overflowPunct/>
        <w:topLinePunct w:val="0"/>
        <w:autoSpaceDE/>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5" w:name="bookmark48"/>
      <w:bookmarkEnd w:id="5"/>
      <w:r>
        <w:rPr>
          <w:rFonts w:hint="eastAsia" w:ascii="仿宋_GB2312" w:hAnsi="仿宋_GB2312" w:eastAsia="仿宋_GB2312" w:cs="仿宋_GB2312"/>
          <w:color w:val="000000"/>
          <w:spacing w:val="0"/>
          <w:w w:val="100"/>
          <w:position w:val="0"/>
          <w:sz w:val="32"/>
          <w:szCs w:val="32"/>
          <w:lang w:val="en-US" w:eastAsia="zh-CN" w:bidi="zh-CN"/>
        </w:rPr>
        <w:t>2.</w:t>
      </w:r>
      <w:r>
        <w:rPr>
          <w:rFonts w:hint="eastAsia" w:ascii="仿宋_GB2312" w:hAnsi="仿宋_GB2312" w:eastAsia="仿宋_GB2312" w:cs="仿宋_GB2312"/>
          <w:color w:val="000000"/>
          <w:spacing w:val="0"/>
          <w:w w:val="100"/>
          <w:position w:val="0"/>
          <w:sz w:val="32"/>
          <w:szCs w:val="32"/>
          <w:lang w:val="zh-CN" w:eastAsia="zh-CN" w:bidi="zh-CN"/>
        </w:rPr>
        <w:t>“互</w:t>
      </w:r>
      <w:r>
        <w:rPr>
          <w:rFonts w:hint="eastAsia" w:ascii="仿宋_GB2312" w:hAnsi="仿宋_GB2312" w:eastAsia="仿宋_GB2312" w:cs="仿宋_GB2312"/>
          <w:color w:val="000000"/>
          <w:spacing w:val="0"/>
          <w:w w:val="100"/>
          <w:position w:val="0"/>
          <w:sz w:val="32"/>
          <w:szCs w:val="32"/>
        </w:rPr>
        <w:t>联网+”制造业，包括先进制造、智能硬件、工业 自动化、生物医药、节能环保、新材料、军工等；</w:t>
      </w:r>
    </w:p>
    <w:p>
      <w:pPr>
        <w:pStyle w:val="5"/>
        <w:keepNext w:val="0"/>
        <w:keepLines w:val="0"/>
        <w:pageBreakBefore w:val="0"/>
        <w:widowControl w:val="0"/>
        <w:numPr>
          <w:ilvl w:val="0"/>
          <w:numId w:val="0"/>
        </w:numPr>
        <w:shd w:val="clear" w:color="auto" w:fill="auto"/>
        <w:tabs>
          <w:tab w:val="left" w:pos="1059"/>
        </w:tabs>
        <w:kinsoku/>
        <w:wordWrap/>
        <w:overflowPunct/>
        <w:topLinePunct w:val="0"/>
        <w:autoSpaceDE/>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6" w:name="bookmark49"/>
      <w:bookmarkEnd w:id="6"/>
      <w:r>
        <w:rPr>
          <w:rFonts w:hint="eastAsia" w:ascii="仿宋_GB2312" w:hAnsi="仿宋_GB2312" w:eastAsia="仿宋_GB2312" w:cs="仿宋_GB2312"/>
          <w:color w:val="000000"/>
          <w:spacing w:val="0"/>
          <w:w w:val="100"/>
          <w:position w:val="0"/>
          <w:sz w:val="32"/>
          <w:szCs w:val="32"/>
          <w:lang w:val="en-US" w:eastAsia="zh-CN" w:bidi="zh-CN"/>
        </w:rPr>
        <w:t>3.</w:t>
      </w:r>
      <w:r>
        <w:rPr>
          <w:rFonts w:hint="eastAsia" w:ascii="仿宋_GB2312" w:hAnsi="仿宋_GB2312" w:eastAsia="仿宋_GB2312" w:cs="仿宋_GB2312"/>
          <w:color w:val="000000"/>
          <w:spacing w:val="0"/>
          <w:w w:val="100"/>
          <w:position w:val="0"/>
          <w:sz w:val="32"/>
          <w:szCs w:val="32"/>
          <w:lang w:val="zh-CN" w:eastAsia="zh-CN" w:bidi="zh-CN"/>
        </w:rPr>
        <w:t>“互</w:t>
      </w:r>
      <w:r>
        <w:rPr>
          <w:rFonts w:hint="eastAsia" w:ascii="仿宋_GB2312" w:hAnsi="仿宋_GB2312" w:eastAsia="仿宋_GB2312" w:cs="仿宋_GB2312"/>
          <w:color w:val="000000"/>
          <w:spacing w:val="0"/>
          <w:w w:val="100"/>
          <w:position w:val="0"/>
          <w:sz w:val="32"/>
          <w:szCs w:val="32"/>
        </w:rPr>
        <w:t>联网+”信息技术服务，包括人工智能技术、物联 网技术、网络空间安全技术、大数据、云计算、工具软件、社交网络、媒体门户、企业服务、下一代通讯技术、区块链等；</w:t>
      </w:r>
    </w:p>
    <w:p>
      <w:pPr>
        <w:pStyle w:val="5"/>
        <w:keepNext w:val="0"/>
        <w:keepLines w:val="0"/>
        <w:pageBreakBefore w:val="0"/>
        <w:widowControl w:val="0"/>
        <w:numPr>
          <w:ilvl w:val="0"/>
          <w:numId w:val="0"/>
        </w:numPr>
        <w:shd w:val="clear" w:color="auto" w:fill="auto"/>
        <w:tabs>
          <w:tab w:val="left" w:pos="1059"/>
        </w:tabs>
        <w:kinsoku/>
        <w:wordWrap/>
        <w:overflowPunct/>
        <w:topLinePunct w:val="0"/>
        <w:autoSpaceDE/>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7" w:name="bookmark50"/>
      <w:bookmarkEnd w:id="7"/>
      <w:r>
        <w:rPr>
          <w:rFonts w:hint="eastAsia" w:ascii="仿宋_GB2312" w:hAnsi="仿宋_GB2312" w:eastAsia="仿宋_GB2312" w:cs="仿宋_GB2312"/>
          <w:color w:val="000000"/>
          <w:spacing w:val="0"/>
          <w:w w:val="100"/>
          <w:position w:val="0"/>
          <w:sz w:val="32"/>
          <w:szCs w:val="32"/>
          <w:lang w:val="en-US" w:eastAsia="zh-CN" w:bidi="zh-CN"/>
        </w:rPr>
        <w:t>4.</w:t>
      </w:r>
      <w:r>
        <w:rPr>
          <w:rFonts w:hint="eastAsia" w:ascii="仿宋_GB2312" w:hAnsi="仿宋_GB2312" w:eastAsia="仿宋_GB2312" w:cs="仿宋_GB2312"/>
          <w:color w:val="000000"/>
          <w:spacing w:val="0"/>
          <w:w w:val="100"/>
          <w:position w:val="0"/>
          <w:sz w:val="32"/>
          <w:szCs w:val="32"/>
          <w:lang w:val="zh-CN" w:eastAsia="zh-CN" w:bidi="zh-CN"/>
        </w:rPr>
        <w:t>“互</w:t>
      </w:r>
      <w:r>
        <w:rPr>
          <w:rFonts w:hint="eastAsia" w:ascii="仿宋_GB2312" w:hAnsi="仿宋_GB2312" w:eastAsia="仿宋_GB2312" w:cs="仿宋_GB2312"/>
          <w:color w:val="000000"/>
          <w:spacing w:val="0"/>
          <w:w w:val="100"/>
          <w:position w:val="0"/>
          <w:sz w:val="32"/>
          <w:szCs w:val="32"/>
        </w:rPr>
        <w:t>联网+”文化创意服务，包括广播影视、设计服务、文化艺术、旅游休闲、艺术品交易、广告会展、动漫娱乐、体育竞技等；</w:t>
      </w:r>
    </w:p>
    <w:p>
      <w:pPr>
        <w:pStyle w:val="5"/>
        <w:keepNext w:val="0"/>
        <w:keepLines w:val="0"/>
        <w:pageBreakBefore w:val="0"/>
        <w:widowControl w:val="0"/>
        <w:numPr>
          <w:ilvl w:val="0"/>
          <w:numId w:val="0"/>
        </w:numPr>
        <w:shd w:val="clear" w:color="auto" w:fill="auto"/>
        <w:tabs>
          <w:tab w:val="left" w:pos="1049"/>
        </w:tabs>
        <w:kinsoku/>
        <w:wordWrap/>
        <w:overflowPunct/>
        <w:topLinePunct w:val="0"/>
        <w:autoSpaceDE/>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8" w:name="bookmark51"/>
      <w:bookmarkEnd w:id="8"/>
      <w:r>
        <w:rPr>
          <w:rFonts w:hint="eastAsia" w:ascii="仿宋_GB2312" w:hAnsi="仿宋_GB2312" w:eastAsia="仿宋_GB2312" w:cs="仿宋_GB2312"/>
          <w:color w:val="000000"/>
          <w:spacing w:val="0"/>
          <w:w w:val="100"/>
          <w:position w:val="0"/>
          <w:sz w:val="32"/>
          <w:szCs w:val="32"/>
          <w:lang w:val="en-US" w:eastAsia="zh-CN" w:bidi="zh-CN"/>
        </w:rPr>
        <w:t>5.</w:t>
      </w:r>
      <w:r>
        <w:rPr>
          <w:rFonts w:hint="eastAsia" w:ascii="仿宋_GB2312" w:hAnsi="仿宋_GB2312" w:eastAsia="仿宋_GB2312" w:cs="仿宋_GB2312"/>
          <w:color w:val="000000"/>
          <w:spacing w:val="0"/>
          <w:w w:val="100"/>
          <w:position w:val="0"/>
          <w:sz w:val="32"/>
          <w:szCs w:val="32"/>
          <w:lang w:val="zh-CN" w:eastAsia="zh-CN" w:bidi="zh-CN"/>
        </w:rPr>
        <w:t>“互</w:t>
      </w:r>
      <w:r>
        <w:rPr>
          <w:rFonts w:hint="eastAsia" w:ascii="仿宋_GB2312" w:hAnsi="仿宋_GB2312" w:eastAsia="仿宋_GB2312" w:cs="仿宋_GB2312"/>
          <w:color w:val="000000"/>
          <w:spacing w:val="0"/>
          <w:w w:val="100"/>
          <w:position w:val="0"/>
          <w:sz w:val="32"/>
          <w:szCs w:val="32"/>
        </w:rPr>
        <w:t>联网+”社会服务，包括电子商务、消费生活、金 融、财经法务、房产家居、高效物流、教育培训、医疗健康、交通、人力资源服务等。</w:t>
      </w:r>
    </w:p>
    <w:p>
      <w:pPr>
        <w:pStyle w:val="5"/>
        <w:keepNext w:val="0"/>
        <w:keepLines w:val="0"/>
        <w:pageBreakBefore w:val="0"/>
        <w:widowControl w:val="0"/>
        <w:shd w:val="clear" w:color="auto" w:fill="auto"/>
        <w:kinsoku/>
        <w:wordWrap/>
        <w:overflowPunct/>
        <w:topLinePunct w:val="0"/>
        <w:autoSpaceDE/>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参赛项目应结合以上分类及自身项目实际，合理选择项目类型。参赛项目不只限于</w:t>
      </w:r>
      <w:r>
        <w:rPr>
          <w:rFonts w:hint="eastAsia" w:ascii="仿宋_GB2312" w:hAnsi="仿宋_GB2312" w:eastAsia="仿宋_GB2312" w:cs="仿宋_GB2312"/>
          <w:color w:val="000000"/>
          <w:spacing w:val="0"/>
          <w:w w:val="100"/>
          <w:position w:val="0"/>
          <w:sz w:val="32"/>
          <w:szCs w:val="32"/>
          <w:lang w:val="zh-CN" w:eastAsia="zh-CN" w:bidi="zh-CN"/>
        </w:rPr>
        <w:t>“互</w:t>
      </w:r>
      <w:r>
        <w:rPr>
          <w:rFonts w:hint="eastAsia" w:ascii="仿宋_GB2312" w:hAnsi="仿宋_GB2312" w:eastAsia="仿宋_GB2312" w:cs="仿宋_GB2312"/>
          <w:color w:val="000000"/>
          <w:spacing w:val="0"/>
          <w:w w:val="100"/>
          <w:position w:val="0"/>
          <w:sz w:val="32"/>
          <w:szCs w:val="32"/>
        </w:rPr>
        <w:t>联网+”项目，鼓励各类创新 创业项目参赛，根据行业背景选择相应类型。</w:t>
      </w:r>
    </w:p>
    <w:p>
      <w:pPr>
        <w:pStyle w:val="5"/>
        <w:keepNext w:val="0"/>
        <w:keepLines w:val="0"/>
        <w:pageBreakBefore w:val="0"/>
        <w:widowControl w:val="0"/>
        <w:shd w:val="clear" w:color="auto" w:fill="auto"/>
        <w:tabs>
          <w:tab w:val="left" w:pos="1362"/>
        </w:tabs>
        <w:kinsoku/>
        <w:wordWrap/>
        <w:overflowPunct/>
        <w:topLinePunct w:val="0"/>
        <w:autoSpaceDE/>
        <w:bidi w:val="0"/>
        <w:adjustRightInd/>
        <w:snapToGrid/>
        <w:spacing w:before="0" w:after="0" w:line="560" w:lineRule="exact"/>
        <w:ind w:left="0" w:right="0" w:firstLine="643" w:firstLineChars="200"/>
        <w:jc w:val="both"/>
        <w:textAlignment w:val="auto"/>
        <w:rPr>
          <w:rFonts w:hint="eastAsia" w:ascii="仿宋_GB2312" w:hAnsi="仿宋_GB2312" w:eastAsia="仿宋_GB2312" w:cs="仿宋_GB2312"/>
          <w:b/>
          <w:bCs/>
          <w:sz w:val="32"/>
          <w:szCs w:val="32"/>
        </w:rPr>
      </w:pPr>
      <w:bookmarkStart w:id="9" w:name="bookmark52"/>
      <w:r>
        <w:rPr>
          <w:rFonts w:hint="eastAsia" w:ascii="仿宋_GB2312" w:hAnsi="仿宋_GB2312" w:eastAsia="仿宋_GB2312" w:cs="仿宋_GB2312"/>
          <w:b/>
          <w:bCs/>
          <w:color w:val="000000"/>
          <w:spacing w:val="0"/>
          <w:w w:val="100"/>
          <w:position w:val="0"/>
          <w:sz w:val="32"/>
          <w:szCs w:val="32"/>
        </w:rPr>
        <w:t>二</w:t>
      </w:r>
      <w:bookmarkEnd w:id="9"/>
      <w:r>
        <w:rPr>
          <w:rFonts w:hint="eastAsia" w:ascii="仿宋_GB2312" w:hAnsi="仿宋_GB2312" w:eastAsia="仿宋_GB2312" w:cs="仿宋_GB2312"/>
          <w:b/>
          <w:bCs/>
          <w:color w:val="000000"/>
          <w:spacing w:val="0"/>
          <w:w w:val="100"/>
          <w:position w:val="0"/>
          <w:sz w:val="32"/>
          <w:szCs w:val="32"/>
        </w:rPr>
        <w:t>、参赛方式和要求</w:t>
      </w:r>
    </w:p>
    <w:p>
      <w:pPr>
        <w:pStyle w:val="5"/>
        <w:keepNext w:val="0"/>
        <w:keepLines w:val="0"/>
        <w:pageBreakBefore w:val="0"/>
        <w:widowControl w:val="0"/>
        <w:numPr>
          <w:ilvl w:val="0"/>
          <w:numId w:val="0"/>
        </w:numPr>
        <w:shd w:val="clear" w:color="auto" w:fill="auto"/>
        <w:kinsoku/>
        <w:wordWrap/>
        <w:overflowPunct/>
        <w:topLinePunct w:val="0"/>
        <w:autoSpaceDE/>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10" w:name="bookmark53"/>
      <w:bookmarkEnd w:id="10"/>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本赛道以团队为单位报名参赛。允许跨校组建参赛团队，每个团队的成员不少于3人，原则上不多于15人（含团队负责人），须为项目的实际核心成员。参赛团队所报参赛创业项目，须为本团队策划或经营的项目，不得借用他人项目参赛。</w:t>
      </w:r>
    </w:p>
    <w:p>
      <w:pPr>
        <w:pStyle w:val="5"/>
        <w:keepNext w:val="0"/>
        <w:keepLines w:val="0"/>
        <w:pageBreakBefore w:val="0"/>
        <w:widowControl w:val="0"/>
        <w:numPr>
          <w:ilvl w:val="0"/>
          <w:numId w:val="0"/>
        </w:numPr>
        <w:shd w:val="clear" w:color="auto" w:fill="auto"/>
        <w:tabs>
          <w:tab w:val="left" w:pos="1243"/>
        </w:tabs>
        <w:kinsoku/>
        <w:wordWrap/>
        <w:overflowPunct/>
        <w:topLinePunct w:val="0"/>
        <w:autoSpaceDE/>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11" w:name="bookmark54"/>
      <w:bookmarkEnd w:id="11"/>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根据参赛团队负责人的学籍或学历确定参赛团队所代表的参赛学校，且代表的参赛学校具有唯一性。按照参赛学校所在的国家和地区，分为中国大陆参赛项目、中国港澳台地区参赛项目、国际参赛项目三个类别。国际参赛项目和中国港澳台地区参赛项目可根据当地教育情况适当调整学籍和学历的相关参赛要求。</w:t>
      </w:r>
    </w:p>
    <w:p>
      <w:pPr>
        <w:pStyle w:val="5"/>
        <w:keepNext w:val="0"/>
        <w:keepLines w:val="0"/>
        <w:pageBreakBefore w:val="0"/>
        <w:widowControl w:val="0"/>
        <w:numPr>
          <w:ilvl w:val="0"/>
          <w:numId w:val="0"/>
        </w:numPr>
        <w:shd w:val="clear" w:color="auto" w:fill="auto"/>
        <w:tabs>
          <w:tab w:val="left" w:pos="1238"/>
        </w:tabs>
        <w:kinsoku/>
        <w:wordWrap/>
        <w:overflowPunct/>
        <w:topLinePunct w:val="0"/>
        <w:autoSpaceDE/>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12" w:name="bookmark55"/>
      <w:bookmarkEnd w:id="12"/>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所有参赛材料和现场答辩原则上使用中文或英文，如有其他语言需求，请联系大赛组委会。</w:t>
      </w:r>
    </w:p>
    <w:p>
      <w:pPr>
        <w:pStyle w:val="5"/>
        <w:keepNext w:val="0"/>
        <w:keepLines w:val="0"/>
        <w:pageBreakBefore w:val="0"/>
        <w:widowControl w:val="0"/>
        <w:shd w:val="clear" w:color="auto" w:fill="auto"/>
        <w:kinsoku/>
        <w:wordWrap/>
        <w:overflowPunct/>
        <w:topLinePunct w:val="0"/>
        <w:autoSpaceDE/>
        <w:bidi w:val="0"/>
        <w:adjustRightInd/>
        <w:snapToGrid/>
        <w:spacing w:before="0" w:after="0" w:line="560" w:lineRule="exact"/>
        <w:ind w:left="0" w:righ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rPr>
        <w:t>三</w:t>
      </w:r>
      <w:r>
        <w:rPr>
          <w:rFonts w:hint="eastAsia" w:ascii="仿宋_GB2312" w:hAnsi="仿宋_GB2312" w:eastAsia="仿宋_GB2312" w:cs="仿宋_GB2312"/>
          <w:b/>
          <w:bCs/>
          <w:color w:val="000000"/>
          <w:spacing w:val="0"/>
          <w:w w:val="100"/>
          <w:position w:val="0"/>
          <w:sz w:val="32"/>
          <w:szCs w:val="32"/>
          <w:lang w:eastAsia="zh-CN"/>
        </w:rPr>
        <w:t>、</w:t>
      </w:r>
      <w:r>
        <w:rPr>
          <w:rFonts w:hint="eastAsia" w:ascii="仿宋_GB2312" w:hAnsi="仿宋_GB2312" w:eastAsia="仿宋_GB2312" w:cs="仿宋_GB2312"/>
          <w:b/>
          <w:bCs/>
          <w:color w:val="000000"/>
          <w:spacing w:val="0"/>
          <w:w w:val="100"/>
          <w:position w:val="0"/>
          <w:sz w:val="32"/>
          <w:szCs w:val="32"/>
        </w:rPr>
        <w:t>参赛组别和对象</w:t>
      </w:r>
    </w:p>
    <w:p>
      <w:pPr>
        <w:pStyle w:val="5"/>
        <w:keepNext w:val="0"/>
        <w:keepLines w:val="0"/>
        <w:pageBreakBefore w:val="0"/>
        <w:widowControl w:val="0"/>
        <w:shd w:val="clear" w:color="auto" w:fill="auto"/>
        <w:kinsoku/>
        <w:wordWrap/>
        <w:overflowPunct/>
        <w:topLinePunct w:val="0"/>
        <w:autoSpaceDE/>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根据参赛项目所处的创业阶段、已获投资情况和项目特 点等，分为本科生创意组、研究生创意组、初创组、成长组、师生共创组。具体参赛条件如下：</w:t>
      </w:r>
    </w:p>
    <w:p>
      <w:pPr>
        <w:pStyle w:val="5"/>
        <w:keepNext w:val="0"/>
        <w:keepLines w:val="0"/>
        <w:pageBreakBefore w:val="0"/>
        <w:widowControl w:val="0"/>
        <w:shd w:val="clear" w:color="auto" w:fill="auto"/>
        <w:tabs>
          <w:tab w:val="left" w:pos="1803"/>
        </w:tabs>
        <w:kinsoku/>
        <w:wordWrap/>
        <w:overflowPunct/>
        <w:topLinePunct w:val="0"/>
        <w:autoSpaceDE/>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bookmarkStart w:id="13" w:name="bookmark56"/>
      <w:r>
        <w:rPr>
          <w:rFonts w:hint="eastAsia" w:ascii="仿宋_GB2312" w:hAnsi="仿宋_GB2312" w:eastAsia="仿宋_GB2312" w:cs="仿宋_GB2312"/>
          <w:color w:val="000000"/>
          <w:spacing w:val="0"/>
          <w:w w:val="100"/>
          <w:position w:val="0"/>
          <w:sz w:val="32"/>
          <w:szCs w:val="32"/>
        </w:rPr>
        <w:t>（</w:t>
      </w:r>
      <w:bookmarkEnd w:id="13"/>
      <w:r>
        <w:rPr>
          <w:rFonts w:hint="eastAsia" w:ascii="仿宋_GB2312" w:hAnsi="仿宋_GB2312" w:eastAsia="仿宋_GB2312" w:cs="仿宋_GB2312"/>
          <w:color w:val="000000"/>
          <w:spacing w:val="0"/>
          <w:w w:val="100"/>
          <w:position w:val="0"/>
          <w:sz w:val="32"/>
          <w:szCs w:val="32"/>
        </w:rPr>
        <w:t>一）本科生创意组</w:t>
      </w:r>
    </w:p>
    <w:p>
      <w:pPr>
        <w:pStyle w:val="5"/>
        <w:keepNext w:val="0"/>
        <w:keepLines w:val="0"/>
        <w:pageBreakBefore w:val="0"/>
        <w:widowControl w:val="0"/>
        <w:shd w:val="clear" w:color="auto" w:fill="auto"/>
        <w:kinsoku/>
        <w:wordWrap/>
        <w:overflowPunct/>
        <w:topLinePunct w:val="0"/>
        <w:autoSpaceDE/>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参赛项目具有较好的创意和较为成型的产品原型或服务模式，在大赛通知下发之日前尚未完成工商等各类登记注册，并符合以下条件：</w:t>
      </w:r>
    </w:p>
    <w:p>
      <w:pPr>
        <w:pStyle w:val="5"/>
        <w:keepNext w:val="0"/>
        <w:keepLines w:val="0"/>
        <w:pageBreakBefore w:val="0"/>
        <w:widowControl w:val="0"/>
        <w:numPr>
          <w:ilvl w:val="0"/>
          <w:numId w:val="0"/>
        </w:numPr>
        <w:shd w:val="clear" w:color="auto" w:fill="auto"/>
        <w:tabs>
          <w:tab w:val="left" w:pos="1210"/>
        </w:tabs>
        <w:kinsoku/>
        <w:wordWrap/>
        <w:overflowPunct/>
        <w:topLinePunct w:val="0"/>
        <w:autoSpaceDE/>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14" w:name="bookmark57"/>
      <w:bookmarkEnd w:id="14"/>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参赛申报人须为团队负责人，团队负责人及成员须均 为普通高等学校全日制在校本科生或专科生。</w:t>
      </w:r>
    </w:p>
    <w:p>
      <w:pPr>
        <w:pStyle w:val="5"/>
        <w:keepNext w:val="0"/>
        <w:keepLines w:val="0"/>
        <w:pageBreakBefore w:val="0"/>
        <w:widowControl w:val="0"/>
        <w:numPr>
          <w:ilvl w:val="0"/>
          <w:numId w:val="0"/>
        </w:numPr>
        <w:shd w:val="clear" w:color="auto" w:fill="auto"/>
        <w:tabs>
          <w:tab w:val="left" w:pos="1186"/>
        </w:tabs>
        <w:kinsoku/>
        <w:wordWrap/>
        <w:overflowPunct/>
        <w:topLinePunct w:val="0"/>
        <w:autoSpaceDE/>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15" w:name="bookmark58"/>
      <w:bookmarkEnd w:id="15"/>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学校科技成果转化项目不能参加本组比赛（科技成果 的完成人、所有人中参赛申报人排名第一的除外）。</w:t>
      </w:r>
    </w:p>
    <w:p>
      <w:pPr>
        <w:pStyle w:val="5"/>
        <w:keepNext w:val="0"/>
        <w:keepLines w:val="0"/>
        <w:pageBreakBefore w:val="0"/>
        <w:widowControl w:val="0"/>
        <w:shd w:val="clear" w:color="auto" w:fill="auto"/>
        <w:tabs>
          <w:tab w:val="left" w:pos="1808"/>
        </w:tabs>
        <w:kinsoku/>
        <w:wordWrap/>
        <w:overflowPunct/>
        <w:topLinePunct w:val="0"/>
        <w:autoSpaceDE/>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16" w:name="bookmark59"/>
    </w:p>
    <w:p>
      <w:pPr>
        <w:pStyle w:val="5"/>
        <w:keepNext w:val="0"/>
        <w:keepLines w:val="0"/>
        <w:pageBreakBefore w:val="0"/>
        <w:widowControl w:val="0"/>
        <w:shd w:val="clear" w:color="auto" w:fill="auto"/>
        <w:tabs>
          <w:tab w:val="left" w:pos="1808"/>
        </w:tabs>
        <w:kinsoku/>
        <w:wordWrap/>
        <w:overflowPunct/>
        <w:topLinePunct w:val="0"/>
        <w:autoSpaceDE/>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w:t>
      </w:r>
      <w:bookmarkEnd w:id="16"/>
      <w:r>
        <w:rPr>
          <w:rFonts w:hint="eastAsia" w:ascii="仿宋_GB2312" w:hAnsi="仿宋_GB2312" w:eastAsia="仿宋_GB2312" w:cs="仿宋_GB2312"/>
          <w:color w:val="000000"/>
          <w:spacing w:val="0"/>
          <w:w w:val="100"/>
          <w:position w:val="0"/>
          <w:sz w:val="32"/>
          <w:szCs w:val="32"/>
        </w:rPr>
        <w:t>二）研究生创意组</w:t>
      </w:r>
    </w:p>
    <w:p>
      <w:pPr>
        <w:pStyle w:val="5"/>
        <w:keepNext w:val="0"/>
        <w:keepLines w:val="0"/>
        <w:pageBreakBefore w:val="0"/>
        <w:widowControl w:val="0"/>
        <w:shd w:val="clear" w:color="auto" w:fill="auto"/>
        <w:kinsoku/>
        <w:wordWrap/>
        <w:overflowPunct/>
        <w:topLinePunct w:val="0"/>
        <w:autoSpaceDE/>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参赛项目具有较好的创意和较为成型的产品原型或服务模式，在大赛通知下发之日前尚未完成工商等各类登记注册，并符合以下条件：</w:t>
      </w:r>
    </w:p>
    <w:p>
      <w:pPr>
        <w:pStyle w:val="5"/>
        <w:keepNext w:val="0"/>
        <w:keepLines w:val="0"/>
        <w:pageBreakBefore w:val="0"/>
        <w:widowControl w:val="0"/>
        <w:numPr>
          <w:ilvl w:val="0"/>
          <w:numId w:val="0"/>
        </w:numPr>
        <w:shd w:val="clear" w:color="auto" w:fill="auto"/>
        <w:tabs>
          <w:tab w:val="left" w:pos="1045"/>
        </w:tabs>
        <w:kinsoku/>
        <w:wordWrap/>
        <w:overflowPunct/>
        <w:topLinePunct w:val="0"/>
        <w:autoSpaceDE/>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17" w:name="bookmark60"/>
      <w:bookmarkEnd w:id="17"/>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参赛申报人须为团队负责人，团队负责人和团队成员须为普通高等学校全日制在校研究生或本专科生。</w:t>
      </w:r>
    </w:p>
    <w:p>
      <w:pPr>
        <w:pStyle w:val="5"/>
        <w:keepNext w:val="0"/>
        <w:keepLines w:val="0"/>
        <w:pageBreakBefore w:val="0"/>
        <w:widowControl w:val="0"/>
        <w:numPr>
          <w:ilvl w:val="0"/>
          <w:numId w:val="0"/>
        </w:numPr>
        <w:shd w:val="clear" w:color="auto" w:fill="auto"/>
        <w:tabs>
          <w:tab w:val="left" w:pos="1026"/>
        </w:tabs>
        <w:kinsoku/>
        <w:wordWrap/>
        <w:overflowPunct/>
        <w:topLinePunct w:val="0"/>
        <w:autoSpaceDE/>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18" w:name="bookmark61"/>
      <w:bookmarkEnd w:id="18"/>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学校科技成果转化项目不能参加本组比赛（科技成果的完成人、所有人中参赛申报人排名第一的除外）。</w:t>
      </w:r>
    </w:p>
    <w:p>
      <w:pPr>
        <w:pStyle w:val="5"/>
        <w:keepNext w:val="0"/>
        <w:keepLines w:val="0"/>
        <w:pageBreakBefore w:val="0"/>
        <w:widowControl w:val="0"/>
        <w:shd w:val="clear" w:color="auto" w:fill="auto"/>
        <w:tabs>
          <w:tab w:val="left" w:pos="1723"/>
        </w:tabs>
        <w:kinsoku/>
        <w:wordWrap/>
        <w:overflowPunct/>
        <w:topLinePunct w:val="0"/>
        <w:autoSpaceDE/>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bookmarkStart w:id="19" w:name="bookmark62"/>
      <w:r>
        <w:rPr>
          <w:rFonts w:hint="eastAsia" w:ascii="仿宋_GB2312" w:hAnsi="仿宋_GB2312" w:eastAsia="仿宋_GB2312" w:cs="仿宋_GB2312"/>
          <w:color w:val="000000"/>
          <w:spacing w:val="0"/>
          <w:w w:val="100"/>
          <w:position w:val="0"/>
          <w:sz w:val="32"/>
          <w:szCs w:val="32"/>
        </w:rPr>
        <w:t>（</w:t>
      </w:r>
      <w:bookmarkEnd w:id="19"/>
      <w:r>
        <w:rPr>
          <w:rFonts w:hint="eastAsia" w:ascii="仿宋_GB2312" w:hAnsi="仿宋_GB2312" w:eastAsia="仿宋_GB2312" w:cs="仿宋_GB2312"/>
          <w:color w:val="000000"/>
          <w:spacing w:val="0"/>
          <w:w w:val="100"/>
          <w:position w:val="0"/>
          <w:sz w:val="32"/>
          <w:szCs w:val="32"/>
        </w:rPr>
        <w:t>三）初创组</w:t>
      </w:r>
    </w:p>
    <w:p>
      <w:pPr>
        <w:pStyle w:val="5"/>
        <w:keepNext w:val="0"/>
        <w:keepLines w:val="0"/>
        <w:pageBreakBefore w:val="0"/>
        <w:widowControl w:val="0"/>
        <w:shd w:val="clear" w:color="auto" w:fill="auto"/>
        <w:kinsoku/>
        <w:wordWrap/>
        <w:overflowPunct/>
        <w:topLinePunct w:val="0"/>
        <w:autoSpaceDE/>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参赛项目工商等各类登记注册未满3年（2018年3月1日后注册），且获机构或个人股权投资不超过1轮次，并符合以下条件：</w:t>
      </w:r>
    </w:p>
    <w:p>
      <w:pPr>
        <w:pStyle w:val="5"/>
        <w:keepNext w:val="0"/>
        <w:keepLines w:val="0"/>
        <w:pageBreakBefore w:val="0"/>
        <w:widowControl w:val="0"/>
        <w:numPr>
          <w:ilvl w:val="0"/>
          <w:numId w:val="0"/>
        </w:numPr>
        <w:shd w:val="clear" w:color="auto" w:fill="auto"/>
        <w:tabs>
          <w:tab w:val="left" w:pos="1059"/>
        </w:tabs>
        <w:kinsoku/>
        <w:wordWrap/>
        <w:overflowPunct/>
        <w:topLinePunct w:val="0"/>
        <w:autoSpaceDE/>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20" w:name="bookmark63"/>
      <w:bookmarkEnd w:id="20"/>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参赛申报人须为初创企业法定代表人，须为普通高等 学校全日制在校生（包括本专科生、研究生，不含在职教育）,或毕业5年以内的学生（即2016年之后的毕业生，不含在职 教育）。企业法定代表人在大赛通知发布之日后进行变更的不予认可。</w:t>
      </w:r>
    </w:p>
    <w:p>
      <w:pPr>
        <w:pStyle w:val="5"/>
        <w:keepNext w:val="0"/>
        <w:keepLines w:val="0"/>
        <w:pageBreakBefore w:val="0"/>
        <w:widowControl w:val="0"/>
        <w:numPr>
          <w:ilvl w:val="0"/>
          <w:numId w:val="0"/>
        </w:numPr>
        <w:shd w:val="clear" w:color="auto" w:fill="auto"/>
        <w:tabs>
          <w:tab w:val="left" w:pos="1050"/>
        </w:tabs>
        <w:kinsoku/>
        <w:wordWrap/>
        <w:overflowPunct/>
        <w:topLinePunct w:val="0"/>
        <w:autoSpaceDE/>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21" w:name="bookmark64"/>
      <w:bookmarkEnd w:id="21"/>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初创组项目的股权结构中，参赛企业法定代表人的股权不得少于10%,参赛成员股权合计不得少于1/3。</w:t>
      </w:r>
    </w:p>
    <w:p>
      <w:pPr>
        <w:pStyle w:val="5"/>
        <w:keepNext w:val="0"/>
        <w:keepLines w:val="0"/>
        <w:pageBreakBefore w:val="0"/>
        <w:widowControl w:val="0"/>
        <w:numPr>
          <w:ilvl w:val="0"/>
          <w:numId w:val="0"/>
        </w:numPr>
        <w:shd w:val="clear" w:color="auto" w:fill="auto"/>
        <w:tabs>
          <w:tab w:val="left" w:pos="1069"/>
        </w:tabs>
        <w:kinsoku/>
        <w:wordWrap/>
        <w:overflowPunct/>
        <w:topLinePunct w:val="0"/>
        <w:autoSpaceDE/>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22" w:name="bookmark65"/>
      <w:bookmarkEnd w:id="22"/>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学校科技成果转化项目（不含基于国家级重大、重点科研项目的科研成果转化项目）可以参加初创组，允许将拥有科研成果的教师的股权与学生所持股权合并计算，合并计算的股权不得少于51% （学生团队所持股权比例不得低于26%）。</w:t>
      </w:r>
    </w:p>
    <w:p>
      <w:pPr>
        <w:pStyle w:val="5"/>
        <w:keepNext w:val="0"/>
        <w:keepLines w:val="0"/>
        <w:pageBreakBefore w:val="0"/>
        <w:widowControl w:val="0"/>
        <w:shd w:val="clear" w:color="auto" w:fill="auto"/>
        <w:tabs>
          <w:tab w:val="left" w:pos="1723"/>
        </w:tabs>
        <w:kinsoku/>
        <w:wordWrap/>
        <w:overflowPunct/>
        <w:topLinePunct w:val="0"/>
        <w:autoSpaceDE/>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bookmarkStart w:id="23" w:name="bookmark66"/>
      <w:r>
        <w:rPr>
          <w:rFonts w:hint="eastAsia" w:ascii="仿宋_GB2312" w:hAnsi="仿宋_GB2312" w:eastAsia="仿宋_GB2312" w:cs="仿宋_GB2312"/>
          <w:color w:val="000000"/>
          <w:spacing w:val="0"/>
          <w:w w:val="100"/>
          <w:position w:val="0"/>
          <w:sz w:val="32"/>
          <w:szCs w:val="32"/>
        </w:rPr>
        <w:t>（</w:t>
      </w:r>
      <w:bookmarkEnd w:id="23"/>
      <w:r>
        <w:rPr>
          <w:rFonts w:hint="eastAsia" w:ascii="仿宋_GB2312" w:hAnsi="仿宋_GB2312" w:eastAsia="仿宋_GB2312" w:cs="仿宋_GB2312"/>
          <w:color w:val="000000"/>
          <w:spacing w:val="0"/>
          <w:w w:val="100"/>
          <w:position w:val="0"/>
          <w:sz w:val="32"/>
          <w:szCs w:val="32"/>
        </w:rPr>
        <w:t>四）成长组</w:t>
      </w:r>
    </w:p>
    <w:p>
      <w:pPr>
        <w:pStyle w:val="5"/>
        <w:keepNext w:val="0"/>
        <w:keepLines w:val="0"/>
        <w:pageBreakBefore w:val="0"/>
        <w:widowControl w:val="0"/>
        <w:shd w:val="clear" w:color="auto" w:fill="auto"/>
        <w:kinsoku/>
        <w:wordWrap/>
        <w:overflowPunct/>
        <w:topLinePunct w:val="0"/>
        <w:autoSpaceDE/>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参赛项目工商等各类登记注册3年以上（2018年3月1日前注册）；或工商等各类登记注册未满3年（2018年3月1日后注册），且获机构或个人股权投资2轮次以上（含2轮次），并符合以下条件：</w:t>
      </w:r>
    </w:p>
    <w:p>
      <w:pPr>
        <w:pStyle w:val="5"/>
        <w:keepNext w:val="0"/>
        <w:keepLines w:val="0"/>
        <w:pageBreakBefore w:val="0"/>
        <w:widowControl w:val="0"/>
        <w:shd w:val="clear" w:color="auto" w:fill="auto"/>
        <w:kinsoku/>
        <w:wordWrap/>
        <w:overflowPunct/>
        <w:topLinePunct w:val="0"/>
        <w:autoSpaceDE/>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bookmarkStart w:id="24" w:name="bookmark67"/>
      <w:bookmarkEnd w:id="24"/>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参赛申报人须为企业法定代表人，须为普通高等学校全日制在校生（包括本专科生、研究生，不含在职教育），或毕业5年以内的学生（即2016年之后的毕业生，不含在职教 育）。企业法定代表人在大赛通知发布之日后进行变更的不予认可。</w:t>
      </w:r>
    </w:p>
    <w:p>
      <w:pPr>
        <w:pStyle w:val="5"/>
        <w:keepNext w:val="0"/>
        <w:keepLines w:val="0"/>
        <w:pageBreakBefore w:val="0"/>
        <w:widowControl w:val="0"/>
        <w:numPr>
          <w:ilvl w:val="0"/>
          <w:numId w:val="0"/>
        </w:numPr>
        <w:shd w:val="clear" w:color="auto" w:fill="auto"/>
        <w:tabs>
          <w:tab w:val="left" w:pos="1212"/>
        </w:tabs>
        <w:kinsoku/>
        <w:wordWrap/>
        <w:overflowPunct/>
        <w:topLinePunct w:val="0"/>
        <w:autoSpaceDE/>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25" w:name="bookmark68"/>
      <w:bookmarkEnd w:id="25"/>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成长组项目的股权结构中，参赛企业法定代表人的股权不得少于10%,参赛成员股权合计不得少于1/3。</w:t>
      </w:r>
    </w:p>
    <w:p>
      <w:pPr>
        <w:pStyle w:val="5"/>
        <w:keepNext w:val="0"/>
        <w:keepLines w:val="0"/>
        <w:pageBreakBefore w:val="0"/>
        <w:widowControl w:val="0"/>
        <w:numPr>
          <w:ilvl w:val="0"/>
          <w:numId w:val="0"/>
        </w:numPr>
        <w:shd w:val="clear" w:color="auto" w:fill="auto"/>
        <w:tabs>
          <w:tab w:val="left" w:pos="1236"/>
        </w:tabs>
        <w:kinsoku/>
        <w:wordWrap/>
        <w:overflowPunct/>
        <w:topLinePunct w:val="0"/>
        <w:autoSpaceDE/>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26" w:name="bookmark69"/>
      <w:bookmarkEnd w:id="26"/>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学校科技成果转化项目（不含基于国家级重大、重点科研项目的科研成果转化项目</w:t>
      </w:r>
      <w:r>
        <w:rPr>
          <w:rFonts w:hint="eastAsia" w:ascii="仿宋_GB2312" w:hAnsi="仿宋_GB2312" w:eastAsia="仿宋_GB2312" w:cs="仿宋_GB2312"/>
          <w:i/>
          <w:iCs/>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rPr>
        <w:t>可以参加成长组，允许将拥有科研成果的教师的股权与学生所持股权合并计算，合并计算的股权不得少于51%（学生团队所持股权比例不得低于26%）。</w:t>
      </w:r>
    </w:p>
    <w:p>
      <w:pPr>
        <w:pStyle w:val="5"/>
        <w:keepNext w:val="0"/>
        <w:keepLines w:val="0"/>
        <w:pageBreakBefore w:val="0"/>
        <w:widowControl w:val="0"/>
        <w:shd w:val="clear" w:color="auto" w:fill="auto"/>
        <w:kinsoku/>
        <w:wordWrap/>
        <w:overflowPunct/>
        <w:topLinePunct w:val="0"/>
        <w:autoSpaceDE/>
        <w:bidi w:val="0"/>
        <w:adjustRightInd/>
        <w:snapToGrid/>
        <w:spacing w:before="0" w:after="0" w:line="560" w:lineRule="exact"/>
        <w:ind w:right="0" w:firstLine="640" w:firstLineChars="200"/>
        <w:jc w:val="both"/>
        <w:textAlignment w:val="auto"/>
        <w:rPr>
          <w:rFonts w:hint="eastAsia" w:ascii="仿宋_GB2312" w:hAnsi="仿宋_GB2312" w:eastAsia="仿宋_GB2312" w:cs="仿宋_GB2312"/>
          <w:sz w:val="32"/>
          <w:szCs w:val="32"/>
        </w:rPr>
      </w:pPr>
      <w:bookmarkStart w:id="27" w:name="bookmark70"/>
      <w:r>
        <w:rPr>
          <w:rFonts w:hint="eastAsia" w:ascii="仿宋_GB2312" w:hAnsi="仿宋_GB2312" w:eastAsia="仿宋_GB2312" w:cs="仿宋_GB2312"/>
          <w:color w:val="000000"/>
          <w:spacing w:val="0"/>
          <w:w w:val="100"/>
          <w:position w:val="0"/>
          <w:sz w:val="32"/>
          <w:szCs w:val="32"/>
        </w:rPr>
        <w:t>（</w:t>
      </w:r>
      <w:bookmarkEnd w:id="27"/>
      <w:r>
        <w:rPr>
          <w:rFonts w:hint="eastAsia" w:ascii="仿宋_GB2312" w:hAnsi="仿宋_GB2312" w:eastAsia="仿宋_GB2312" w:cs="仿宋_GB2312"/>
          <w:color w:val="000000"/>
          <w:spacing w:val="0"/>
          <w:w w:val="100"/>
          <w:position w:val="0"/>
          <w:sz w:val="32"/>
          <w:szCs w:val="32"/>
        </w:rPr>
        <w:t>五）师生共创组</w:t>
      </w:r>
    </w:p>
    <w:p>
      <w:pPr>
        <w:pStyle w:val="5"/>
        <w:keepNext w:val="0"/>
        <w:keepLines w:val="0"/>
        <w:pageBreakBefore w:val="0"/>
        <w:widowControl w:val="0"/>
        <w:shd w:val="clear" w:color="auto" w:fill="auto"/>
        <w:kinsoku/>
        <w:wordWrap/>
        <w:overflowPunct/>
        <w:topLinePunct w:val="0"/>
        <w:autoSpaceDE/>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基于国家级重大、重点科研项目的科研成果转化项目， 或者教师与学生共同参与创业且教师所占权重比例大于学 生（如已注册成立公司，教师持股比例大于学生）的项目， 并符合以下条件：</w:t>
      </w:r>
    </w:p>
    <w:p>
      <w:pPr>
        <w:pStyle w:val="5"/>
        <w:keepNext w:val="0"/>
        <w:keepLines w:val="0"/>
        <w:pageBreakBefore w:val="0"/>
        <w:widowControl w:val="0"/>
        <w:numPr>
          <w:ilvl w:val="0"/>
          <w:numId w:val="0"/>
        </w:numPr>
        <w:shd w:val="clear" w:color="auto" w:fill="auto"/>
        <w:kinsoku/>
        <w:wordWrap/>
        <w:overflowPunct/>
        <w:topLinePunct w:val="0"/>
        <w:autoSpaceDE/>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28" w:name="bookmark71"/>
      <w:bookmarkEnd w:id="28"/>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参赛项目如已注册成立公司，公司注册年限不得超过</w:t>
      </w:r>
      <w:r>
        <w:rPr>
          <w:rFonts w:hint="eastAsia" w:ascii="仿宋_GB2312" w:hAnsi="仿宋_GB2312" w:eastAsia="仿宋_GB2312" w:cs="仿宋_GB2312"/>
          <w:color w:val="000000"/>
          <w:spacing w:val="0"/>
          <w:w w:val="100"/>
          <w:position w:val="0"/>
          <w:sz w:val="32"/>
          <w:szCs w:val="32"/>
          <w:lang w:val="en-US" w:eastAsia="zh-CN"/>
        </w:rPr>
        <w:t>5</w:t>
      </w:r>
      <w:r>
        <w:rPr>
          <w:rFonts w:hint="eastAsia" w:ascii="仿宋_GB2312" w:hAnsi="仿宋_GB2312" w:eastAsia="仿宋_GB2312" w:cs="仿宋_GB2312"/>
          <w:color w:val="000000"/>
          <w:spacing w:val="0"/>
          <w:w w:val="100"/>
          <w:position w:val="0"/>
          <w:sz w:val="32"/>
          <w:szCs w:val="32"/>
        </w:rPr>
        <w:t>年（2016年3月1日后注册），师生均可为公司法定代表 人。企业法定代表人在大赛通知发布之日后进行变更的不予认可。股权结构中，师生股权合并计算不低于51%,且学生 参赛成员合计股份不低于10%。</w:t>
      </w:r>
    </w:p>
    <w:p>
      <w:pPr>
        <w:pStyle w:val="5"/>
        <w:keepNext w:val="0"/>
        <w:keepLines w:val="0"/>
        <w:pageBreakBefore w:val="0"/>
        <w:widowControl w:val="0"/>
        <w:numPr>
          <w:ilvl w:val="0"/>
          <w:numId w:val="0"/>
        </w:numPr>
        <w:shd w:val="clear" w:color="auto" w:fill="auto"/>
        <w:tabs>
          <w:tab w:val="left" w:pos="1050"/>
        </w:tabs>
        <w:kinsoku/>
        <w:wordWrap/>
        <w:overflowPunct/>
        <w:topLinePunct w:val="0"/>
        <w:autoSpaceDE/>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29" w:name="bookmark72"/>
      <w:bookmarkEnd w:id="29"/>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参赛申报人须为普通高等学校全日制在校生（包括本专科生、研究生，不含在职教育），或毕业5年以内的学生</w:t>
      </w:r>
    </w:p>
    <w:p>
      <w:pPr>
        <w:pStyle w:val="5"/>
        <w:keepNext w:val="0"/>
        <w:keepLines w:val="0"/>
        <w:pageBreakBefore w:val="0"/>
        <w:widowControl w:val="0"/>
        <w:shd w:val="clear" w:color="auto" w:fill="auto"/>
        <w:kinsoku/>
        <w:wordWrap/>
        <w:overflowPunct/>
        <w:topLinePunct w:val="0"/>
        <w:autoSpaceDE/>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（即2016年之后的毕业生，不含在职教育）。</w:t>
      </w:r>
    </w:p>
    <w:p>
      <w:pPr>
        <w:pStyle w:val="5"/>
        <w:keepNext w:val="0"/>
        <w:keepLines w:val="0"/>
        <w:pageBreakBefore w:val="0"/>
        <w:widowControl w:val="0"/>
        <w:numPr>
          <w:ilvl w:val="0"/>
          <w:numId w:val="0"/>
        </w:numPr>
        <w:shd w:val="clear" w:color="auto" w:fill="auto"/>
        <w:tabs>
          <w:tab w:val="left" w:pos="1016"/>
        </w:tabs>
        <w:kinsoku/>
        <w:wordWrap/>
        <w:overflowPunct/>
        <w:topLinePunct w:val="0"/>
        <w:autoSpaceDE/>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30" w:name="bookmark73"/>
      <w:bookmarkEnd w:id="30"/>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参赛项目中的教师须为高校在编教师（2021年6月1日前正式入职）。</w:t>
      </w:r>
    </w:p>
    <w:p>
      <w:pPr>
        <w:pStyle w:val="5"/>
        <w:keepNext w:val="0"/>
        <w:keepLines w:val="0"/>
        <w:pageBreakBefore w:val="0"/>
        <w:widowControl w:val="0"/>
        <w:shd w:val="clear" w:color="auto" w:fill="auto"/>
        <w:tabs>
          <w:tab w:val="left" w:pos="1344"/>
        </w:tabs>
        <w:kinsoku/>
        <w:wordWrap/>
        <w:overflowPunct/>
        <w:topLinePunct w:val="0"/>
        <w:autoSpaceDE/>
        <w:bidi w:val="0"/>
        <w:adjustRightInd/>
        <w:snapToGrid/>
        <w:spacing w:before="0" w:after="0" w:line="560" w:lineRule="exact"/>
        <w:ind w:left="0" w:right="0" w:firstLine="643" w:firstLineChars="200"/>
        <w:jc w:val="both"/>
        <w:textAlignment w:val="auto"/>
        <w:rPr>
          <w:rFonts w:hint="eastAsia" w:ascii="仿宋_GB2312" w:hAnsi="仿宋_GB2312" w:eastAsia="仿宋_GB2312" w:cs="仿宋_GB2312"/>
          <w:b/>
          <w:bCs/>
          <w:sz w:val="32"/>
          <w:szCs w:val="32"/>
        </w:rPr>
      </w:pPr>
      <w:bookmarkStart w:id="31" w:name="bookmark74"/>
      <w:r>
        <w:rPr>
          <w:rFonts w:hint="eastAsia" w:ascii="仿宋_GB2312" w:hAnsi="仿宋_GB2312" w:eastAsia="仿宋_GB2312" w:cs="仿宋_GB2312"/>
          <w:b/>
          <w:bCs/>
          <w:color w:val="000000"/>
          <w:spacing w:val="0"/>
          <w:w w:val="100"/>
          <w:position w:val="0"/>
          <w:sz w:val="32"/>
          <w:szCs w:val="32"/>
        </w:rPr>
        <w:t>四</w:t>
      </w:r>
      <w:bookmarkEnd w:id="31"/>
      <w:r>
        <w:rPr>
          <w:rFonts w:hint="eastAsia" w:ascii="仿宋_GB2312" w:hAnsi="仿宋_GB2312" w:eastAsia="仿宋_GB2312" w:cs="仿宋_GB2312"/>
          <w:b/>
          <w:bCs/>
          <w:color w:val="000000"/>
          <w:spacing w:val="0"/>
          <w:w w:val="100"/>
          <w:position w:val="0"/>
          <w:sz w:val="32"/>
          <w:szCs w:val="32"/>
        </w:rPr>
        <w:t>、</w:t>
      </w:r>
      <w:r>
        <w:rPr>
          <w:rFonts w:hint="eastAsia" w:ascii="仿宋_GB2312" w:hAnsi="仿宋_GB2312" w:eastAsia="仿宋_GB2312" w:cs="仿宋_GB2312"/>
          <w:b/>
          <w:bCs/>
          <w:color w:val="000000"/>
          <w:spacing w:val="0"/>
          <w:w w:val="100"/>
          <w:position w:val="0"/>
          <w:sz w:val="32"/>
          <w:szCs w:val="32"/>
        </w:rPr>
        <w:tab/>
      </w:r>
      <w:r>
        <w:rPr>
          <w:rFonts w:hint="eastAsia" w:ascii="仿宋_GB2312" w:hAnsi="仿宋_GB2312" w:eastAsia="仿宋_GB2312" w:cs="仿宋_GB2312"/>
          <w:b/>
          <w:bCs/>
          <w:color w:val="000000"/>
          <w:spacing w:val="0"/>
          <w:w w:val="100"/>
          <w:position w:val="0"/>
          <w:sz w:val="32"/>
          <w:szCs w:val="32"/>
        </w:rPr>
        <w:t>奖项设置</w:t>
      </w:r>
    </w:p>
    <w:p>
      <w:pPr>
        <w:pStyle w:val="5"/>
        <w:keepNext w:val="0"/>
        <w:keepLines w:val="0"/>
        <w:pageBreakBefore w:val="0"/>
        <w:widowControl w:val="0"/>
        <w:numPr>
          <w:ilvl w:val="0"/>
          <w:numId w:val="0"/>
        </w:numPr>
        <w:shd w:val="clear" w:color="auto" w:fill="auto"/>
        <w:tabs>
          <w:tab w:val="left" w:pos="1069"/>
        </w:tabs>
        <w:kinsoku/>
        <w:wordWrap/>
        <w:overflowPunct/>
        <w:topLinePunct w:val="0"/>
        <w:autoSpaceDE/>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32" w:name="bookmark75"/>
      <w:bookmarkEnd w:id="32"/>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本赛道设置金奖、银奖、铜奖，中国大陆参赛项目设金奖150个、银奖350个、铜奖1000个，中国港澳台地区参赛项目设金奖5个、银奖15个、铜奖另定，国际参赛项目设金奖50个、银奖100个、铜奖350个。</w:t>
      </w:r>
    </w:p>
    <w:p>
      <w:pPr>
        <w:pStyle w:val="5"/>
        <w:keepNext w:val="0"/>
        <w:keepLines w:val="0"/>
        <w:pageBreakBefore w:val="0"/>
        <w:widowControl w:val="0"/>
        <w:numPr>
          <w:ilvl w:val="0"/>
          <w:numId w:val="0"/>
        </w:numPr>
        <w:shd w:val="clear" w:color="auto" w:fill="auto"/>
        <w:tabs>
          <w:tab w:val="left" w:pos="1054"/>
        </w:tabs>
        <w:kinsoku/>
        <w:wordWrap/>
        <w:overflowPunct/>
        <w:topLinePunct w:val="0"/>
        <w:autoSpaceDE/>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33" w:name="bookmark76"/>
      <w:bookmarkEnd w:id="33"/>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本赛道设置最佳带动就业奖、最佳创意奖、最具商业 价值奖、最具人气奖等若干单项奖。</w:t>
      </w:r>
    </w:p>
    <w:p>
      <w:pPr>
        <w:pStyle w:val="5"/>
        <w:keepNext w:val="0"/>
        <w:keepLines w:val="0"/>
        <w:pageBreakBefore w:val="0"/>
        <w:widowControl w:val="0"/>
        <w:numPr>
          <w:ilvl w:val="0"/>
          <w:numId w:val="0"/>
        </w:numPr>
        <w:shd w:val="clear" w:color="auto" w:fill="auto"/>
        <w:tabs>
          <w:tab w:val="left" w:pos="1120"/>
        </w:tabs>
        <w:kinsoku/>
        <w:wordWrap/>
        <w:overflowPunct/>
        <w:topLinePunct w:val="0"/>
        <w:autoSpaceDE/>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34" w:name="bookmark77"/>
      <w:bookmarkEnd w:id="34"/>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本赛道设置高校集体奖20个、省市优秀组织奖10个 （与职教赛道合并计算）和优秀创新创业导师若干名。</w:t>
      </w:r>
      <w:bookmarkStart w:id="35" w:name="bookmark78"/>
    </w:p>
    <w:p>
      <w:pPr>
        <w:pStyle w:val="5"/>
        <w:keepNext w:val="0"/>
        <w:keepLines w:val="0"/>
        <w:pageBreakBefore w:val="0"/>
        <w:widowControl w:val="0"/>
        <w:shd w:val="clear" w:color="auto" w:fill="auto"/>
        <w:tabs>
          <w:tab w:val="left" w:pos="1344"/>
        </w:tabs>
        <w:kinsoku/>
        <w:wordWrap/>
        <w:overflowPunct/>
        <w:topLinePunct w:val="0"/>
        <w:autoSpaceDE/>
        <w:bidi w:val="0"/>
        <w:adjustRightInd/>
        <w:snapToGrid/>
        <w:spacing w:before="0" w:after="0" w:line="560" w:lineRule="exact"/>
        <w:ind w:left="0" w:righ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rPr>
        <w:t>五</w:t>
      </w:r>
      <w:bookmarkEnd w:id="35"/>
      <w:r>
        <w:rPr>
          <w:rFonts w:hint="eastAsia" w:ascii="仿宋_GB2312" w:hAnsi="仿宋_GB2312" w:eastAsia="仿宋_GB2312" w:cs="仿宋_GB2312"/>
          <w:b/>
          <w:bCs/>
          <w:color w:val="000000"/>
          <w:spacing w:val="0"/>
          <w:w w:val="100"/>
          <w:position w:val="0"/>
          <w:sz w:val="32"/>
          <w:szCs w:val="32"/>
        </w:rPr>
        <w:t>、</w:t>
      </w:r>
      <w:r>
        <w:rPr>
          <w:rFonts w:hint="eastAsia" w:ascii="仿宋_GB2312" w:hAnsi="仿宋_GB2312" w:eastAsia="仿宋_GB2312" w:cs="仿宋_GB2312"/>
          <w:b/>
          <w:bCs/>
          <w:color w:val="000000"/>
          <w:spacing w:val="0"/>
          <w:w w:val="100"/>
          <w:position w:val="0"/>
          <w:sz w:val="32"/>
          <w:szCs w:val="32"/>
        </w:rPr>
        <w:tab/>
      </w:r>
      <w:r>
        <w:rPr>
          <w:rFonts w:hint="eastAsia" w:ascii="仿宋_GB2312" w:hAnsi="仿宋_GB2312" w:eastAsia="仿宋_GB2312" w:cs="仿宋_GB2312"/>
          <w:b/>
          <w:bCs/>
          <w:color w:val="000000"/>
          <w:spacing w:val="0"/>
          <w:w w:val="100"/>
          <w:position w:val="0"/>
          <w:sz w:val="32"/>
          <w:szCs w:val="32"/>
        </w:rPr>
        <w:t>其他</w:t>
      </w:r>
    </w:p>
    <w:p>
      <w:pPr>
        <w:pStyle w:val="5"/>
        <w:keepNext w:val="0"/>
        <w:keepLines w:val="0"/>
        <w:pageBreakBefore w:val="0"/>
        <w:widowControl w:val="0"/>
        <w:shd w:val="clear" w:color="auto" w:fill="auto"/>
        <w:kinsoku/>
        <w:wordWrap/>
        <w:overflowPunct/>
        <w:topLinePunct w:val="0"/>
        <w:autoSpaceDE/>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 xml:space="preserve">本附件所涉及条款的最终解释权，归第七届中国国际 </w:t>
      </w:r>
      <w:r>
        <w:rPr>
          <w:rFonts w:hint="eastAsia" w:ascii="仿宋_GB2312" w:hAnsi="仿宋_GB2312" w:eastAsia="仿宋_GB2312" w:cs="仿宋_GB2312"/>
          <w:color w:val="000000"/>
          <w:spacing w:val="0"/>
          <w:w w:val="100"/>
          <w:position w:val="0"/>
          <w:sz w:val="32"/>
          <w:szCs w:val="32"/>
          <w:lang w:val="zh-CN" w:eastAsia="zh-CN" w:bidi="zh-CN"/>
        </w:rPr>
        <w:t>“互</w:t>
      </w:r>
      <w:r>
        <w:rPr>
          <w:rFonts w:hint="eastAsia" w:ascii="仿宋_GB2312" w:hAnsi="仿宋_GB2312" w:eastAsia="仿宋_GB2312" w:cs="仿宋_GB2312"/>
          <w:color w:val="000000"/>
          <w:spacing w:val="0"/>
          <w:w w:val="100"/>
          <w:position w:val="0"/>
          <w:sz w:val="32"/>
          <w:szCs w:val="32"/>
        </w:rPr>
        <w:t>联网</w:t>
      </w:r>
      <w:r>
        <w:rPr>
          <w:rFonts w:hint="eastAsia" w:ascii="仿宋_GB2312" w:hAnsi="仿宋_GB2312" w:eastAsia="仿宋_GB2312" w:cs="仿宋_GB2312"/>
          <w:color w:val="000000"/>
          <w:spacing w:val="0"/>
          <w:w w:val="100"/>
          <w:position w:val="0"/>
          <w:sz w:val="32"/>
          <w:szCs w:val="32"/>
          <w:lang w:val="en-US" w:eastAsia="en-US" w:bidi="en-US"/>
        </w:rPr>
        <w:t>+ "</w:t>
      </w:r>
      <w:r>
        <w:rPr>
          <w:rFonts w:hint="eastAsia" w:ascii="仿宋_GB2312" w:hAnsi="仿宋_GB2312" w:eastAsia="仿宋_GB2312" w:cs="仿宋_GB2312"/>
          <w:color w:val="000000"/>
          <w:spacing w:val="0"/>
          <w:w w:val="100"/>
          <w:position w:val="0"/>
          <w:sz w:val="32"/>
          <w:szCs w:val="32"/>
        </w:rPr>
        <w:t>大学生创新创业大赛组委会所有。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C55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Heading #2|1"/>
    <w:basedOn w:val="1"/>
    <w:qFormat/>
    <w:uiPriority w:val="0"/>
    <w:pPr>
      <w:widowControl w:val="0"/>
      <w:shd w:val="clear" w:color="auto" w:fill="auto"/>
      <w:spacing w:after="520" w:line="696" w:lineRule="exact"/>
      <w:jc w:val="center"/>
      <w:outlineLvl w:val="1"/>
    </w:pPr>
    <w:rPr>
      <w:rFonts w:ascii="宋体" w:hAnsi="宋体" w:eastAsia="宋体" w:cs="宋体"/>
      <w:sz w:val="40"/>
      <w:szCs w:val="40"/>
      <w:u w:val="none"/>
      <w:shd w:val="clear" w:color="auto" w:fill="auto"/>
      <w:lang w:val="zh-TW" w:eastAsia="zh-TW" w:bidi="zh-TW"/>
    </w:rPr>
  </w:style>
  <w:style w:type="paragraph" w:customStyle="1" w:styleId="5">
    <w:name w:val="Body text|1"/>
    <w:basedOn w:val="1"/>
    <w:qFormat/>
    <w:uiPriority w:val="0"/>
    <w:pPr>
      <w:widowControl w:val="0"/>
      <w:shd w:val="clear" w:color="auto" w:fill="auto"/>
      <w:spacing w:line="425"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2021-05-10T10:08:35Z</dcterms:created>
  <dc:creator>DELL</dc:creator>
  <cp:lastModifiedBy>WPS_1553217667</cp:lastModifiedBy>
  <dcterms:modified xsi:type="dcterms:W3CDTF">2021-05-10T10:08:44Z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